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E8" w:rsidRPr="00A00107" w:rsidRDefault="00493B00" w:rsidP="009B0B67">
      <w:pPr>
        <w:pStyle w:val="Heading1"/>
      </w:pPr>
      <w:r w:rsidRPr="00A00107">
        <w:t>I</w:t>
      </w:r>
      <w:r w:rsidR="00342DE8" w:rsidRPr="00A00107">
        <w:t>ndices of Deprivation:</w:t>
      </w:r>
    </w:p>
    <w:p w:rsidR="00342DE8" w:rsidRPr="00A00107" w:rsidRDefault="00342DE8" w:rsidP="009B0B67">
      <w:pPr>
        <w:pStyle w:val="Heading1"/>
      </w:pPr>
      <w:r w:rsidRPr="00A00107">
        <w:t>Sandwell 20</w:t>
      </w:r>
      <w:r w:rsidR="00537B2F">
        <w:t>1</w:t>
      </w:r>
      <w:r w:rsidR="000040A9">
        <w:t>5</w:t>
      </w:r>
    </w:p>
    <w:p w:rsidR="00342DE8" w:rsidRPr="00A00107" w:rsidRDefault="00342DE8" w:rsidP="005E6E35">
      <w:pPr>
        <w:pStyle w:val="Intropara"/>
        <w:jc w:val="both"/>
      </w:pPr>
      <w:r w:rsidRPr="00A00107">
        <w:t xml:space="preserve">The Department for Communities and Local Government (DCLG) updated the English Indices of Deprivation and published the </w:t>
      </w:r>
      <w:r w:rsidR="00C222FE">
        <w:t>most recent</w:t>
      </w:r>
      <w:r w:rsidRPr="00A00107">
        <w:t xml:space="preserve"> figures in </w:t>
      </w:r>
      <w:r w:rsidR="00390DBB">
        <w:t>September 2015</w:t>
      </w:r>
      <w:r w:rsidRPr="00A00107">
        <w:t>. They offer a direct comparison to the deprivation figures published in 2004</w:t>
      </w:r>
      <w:r w:rsidR="00390DBB">
        <w:t xml:space="preserve">, </w:t>
      </w:r>
      <w:r w:rsidR="004D62DB">
        <w:t>2007</w:t>
      </w:r>
      <w:r w:rsidR="00390DBB">
        <w:t xml:space="preserve"> and 2010</w:t>
      </w:r>
      <w:r w:rsidRPr="00A00107">
        <w:t>.</w:t>
      </w:r>
      <w:r w:rsidR="00C905AD" w:rsidRPr="00A00107">
        <w:t xml:space="preserve"> This briefing paper aims to raise awareness of the new data source</w:t>
      </w:r>
      <w:r w:rsidR="009A6460">
        <w:t>, provide information on how relative positions have changed over time,</w:t>
      </w:r>
      <w:r w:rsidR="00C905AD" w:rsidRPr="00A00107">
        <w:t xml:space="preserve"> and give an overview of the data for Sandwell Borough.</w:t>
      </w:r>
    </w:p>
    <w:p w:rsidR="00446FA4" w:rsidRPr="001125A5" w:rsidRDefault="001125A5" w:rsidP="001125A5">
      <w:pPr>
        <w:autoSpaceDE w:val="0"/>
        <w:autoSpaceDN w:val="0"/>
        <w:adjustRightInd w:val="0"/>
        <w:jc w:val="both"/>
        <w:rPr>
          <w:rFonts w:ascii="FrutigerLTStd-Light" w:hAnsi="FrutigerLTStd-Light" w:cs="FrutigerLTStd-Light"/>
          <w:lang w:eastAsia="en-GB"/>
        </w:rPr>
      </w:pPr>
      <w:r w:rsidRPr="001125A5">
        <w:rPr>
          <w:rFonts w:ascii="FrutigerLTStd-Light" w:hAnsi="FrutigerLTStd-Light" w:cs="FrutigerLTStd-Light"/>
          <w:lang w:eastAsia="en-GB"/>
        </w:rPr>
        <w:t>The new Index of Multiple Deprivation 201</w:t>
      </w:r>
      <w:r w:rsidR="0097334A">
        <w:rPr>
          <w:rFonts w:ascii="FrutigerLTStd-Light" w:hAnsi="FrutigerLTStd-Light" w:cs="FrutigerLTStd-Light"/>
          <w:lang w:eastAsia="en-GB"/>
        </w:rPr>
        <w:t>5</w:t>
      </w:r>
      <w:r w:rsidRPr="001125A5">
        <w:rPr>
          <w:rFonts w:ascii="FrutigerLTStd-Light" w:hAnsi="FrutigerLTStd-Light" w:cs="FrutigerLTStd-Light"/>
          <w:lang w:eastAsia="en-GB"/>
        </w:rPr>
        <w:t xml:space="preserve"> (IMD 201</w:t>
      </w:r>
      <w:r w:rsidR="0097334A">
        <w:rPr>
          <w:rFonts w:ascii="FrutigerLTStd-Light" w:hAnsi="FrutigerLTStd-Light" w:cs="FrutigerLTStd-Light"/>
          <w:lang w:eastAsia="en-GB"/>
        </w:rPr>
        <w:t>5</w:t>
      </w:r>
      <w:r w:rsidRPr="001125A5">
        <w:rPr>
          <w:rFonts w:ascii="FrutigerLTStd-Light" w:hAnsi="FrutigerLTStd-Light" w:cs="FrutigerLTStd-Light"/>
          <w:lang w:eastAsia="en-GB"/>
        </w:rPr>
        <w:t>) is a Lower layer Super Output Area (LSOA</w:t>
      </w:r>
      <w:r w:rsidR="00446FA4">
        <w:rPr>
          <w:rStyle w:val="FootnoteReference"/>
          <w:rFonts w:ascii="FrutigerLTStd-Light" w:hAnsi="FrutigerLTStd-Light" w:cs="FrutigerLTStd-Light"/>
          <w:lang w:eastAsia="en-GB"/>
        </w:rPr>
        <w:footnoteReference w:id="1"/>
      </w:r>
      <w:r w:rsidRPr="001125A5">
        <w:rPr>
          <w:rFonts w:ascii="FrutigerLTStd-Light" w:hAnsi="FrutigerLTStd-Light" w:cs="FrutigerLTStd-Light"/>
          <w:lang w:eastAsia="en-GB"/>
        </w:rPr>
        <w:t>) level measure of multiple deprivation, and is made up of seven LSOA level domain indices. These relate to income deprivation, employment deprivation, health deprivation and disability, education skills and training deprivation, barriers to housing and services, living environment deprivation, and crime</w:t>
      </w:r>
      <w:r>
        <w:rPr>
          <w:rFonts w:ascii="FrutigerLTStd-Light" w:hAnsi="FrutigerLTStd-Light" w:cs="FrutigerLTStd-Light"/>
          <w:lang w:eastAsia="en-GB"/>
        </w:rPr>
        <w:t>,</w:t>
      </w:r>
      <w:r w:rsidRPr="001125A5">
        <w:rPr>
          <w:rFonts w:ascii="FrutigerLTStd-Light" w:hAnsi="FrutigerLTStd-Light" w:cs="FrutigerLTStd-Light"/>
          <w:lang w:eastAsia="en-GB"/>
        </w:rPr>
        <w:t xml:space="preserve"> which reflect the broad range of deprivation that people can experience.  </w:t>
      </w:r>
      <w:r w:rsidR="0036405D" w:rsidRPr="001125A5">
        <w:rPr>
          <w:rFonts w:ascii="FrutigerLTStd-Light" w:hAnsi="FrutigerLTStd-Light" w:cs="FrutigerLTStd-Light"/>
          <w:lang w:eastAsia="en-GB"/>
        </w:rPr>
        <w:t>Summary measures of the IMD 201</w:t>
      </w:r>
      <w:r w:rsidR="0097334A">
        <w:rPr>
          <w:rFonts w:ascii="FrutigerLTStd-Light" w:hAnsi="FrutigerLTStd-Light" w:cs="FrutigerLTStd-Light"/>
          <w:lang w:eastAsia="en-GB"/>
        </w:rPr>
        <w:t>5</w:t>
      </w:r>
      <w:r w:rsidR="0036405D" w:rsidRPr="001125A5">
        <w:rPr>
          <w:rFonts w:ascii="FrutigerLTStd-Light" w:hAnsi="FrutigerLTStd-Light" w:cs="FrutigerLTStd-Light"/>
          <w:lang w:eastAsia="en-GB"/>
        </w:rPr>
        <w:t xml:space="preserve"> are presented at local authority district level. </w:t>
      </w:r>
    </w:p>
    <w:p w:rsidR="007F15D0" w:rsidRDefault="001125A5" w:rsidP="001125A5">
      <w:pPr>
        <w:autoSpaceDE w:val="0"/>
        <w:autoSpaceDN w:val="0"/>
        <w:adjustRightInd w:val="0"/>
        <w:jc w:val="both"/>
        <w:rPr>
          <w:rFonts w:ascii="FrutigerLTStd-Light" w:hAnsi="FrutigerLTStd-Light" w:cs="FrutigerLTStd-Light"/>
          <w:lang w:eastAsia="en-GB"/>
        </w:rPr>
      </w:pPr>
      <w:r w:rsidRPr="001125A5">
        <w:rPr>
          <w:rFonts w:ascii="FrutigerLTStd-Light" w:hAnsi="FrutigerLTStd-Light" w:cs="FrutigerLTStd-Light"/>
          <w:lang w:eastAsia="en-GB"/>
        </w:rPr>
        <w:t xml:space="preserve">There are also two supplementary indices: the Income Deprivation Affecting Children Index (IDACI) and the Income Deprivation Affecting Older People Index (IDAOPI). </w:t>
      </w:r>
    </w:p>
    <w:p w:rsidR="001125A5" w:rsidRPr="001125A5" w:rsidRDefault="001125A5" w:rsidP="001125A5">
      <w:pPr>
        <w:autoSpaceDE w:val="0"/>
        <w:autoSpaceDN w:val="0"/>
        <w:adjustRightInd w:val="0"/>
        <w:jc w:val="both"/>
        <w:rPr>
          <w:rFonts w:ascii="FrutigerLTStd-Light" w:hAnsi="FrutigerLTStd-Light" w:cs="FrutigerLTStd-Light"/>
          <w:lang w:eastAsia="en-GB"/>
        </w:rPr>
      </w:pPr>
      <w:r w:rsidRPr="001125A5">
        <w:rPr>
          <w:rFonts w:ascii="FrutigerLTStd-Light" w:hAnsi="FrutigerLTStd-Light" w:cs="FrutigerLTStd-Light"/>
          <w:lang w:eastAsia="en-GB"/>
        </w:rPr>
        <w:t>The LSOA level domain indices, IMD 201</w:t>
      </w:r>
      <w:r w:rsidR="0097334A">
        <w:rPr>
          <w:rFonts w:ascii="FrutigerLTStd-Light" w:hAnsi="FrutigerLTStd-Light" w:cs="FrutigerLTStd-Light"/>
          <w:lang w:eastAsia="en-GB"/>
        </w:rPr>
        <w:t>5</w:t>
      </w:r>
      <w:r w:rsidRPr="001125A5">
        <w:rPr>
          <w:rFonts w:ascii="FrutigerLTStd-Light" w:hAnsi="FrutigerLTStd-Light" w:cs="FrutigerLTStd-Light"/>
          <w:lang w:eastAsia="en-GB"/>
        </w:rPr>
        <w:t xml:space="preserve">, IDACI and IDAOPI, together with the local authority district summaries, are collectively referred to as the </w:t>
      </w:r>
      <w:r w:rsidR="0097334A">
        <w:rPr>
          <w:rFonts w:ascii="FrutigerLTStd-Light" w:hAnsi="FrutigerLTStd-Light" w:cs="FrutigerLTStd-Light"/>
          <w:lang w:eastAsia="en-GB"/>
        </w:rPr>
        <w:t xml:space="preserve">English </w:t>
      </w:r>
      <w:r w:rsidRPr="001125A5">
        <w:rPr>
          <w:rFonts w:ascii="FrutigerLTStd-Light" w:hAnsi="FrutigerLTStd-Light" w:cs="FrutigerLTStd-Light"/>
          <w:lang w:eastAsia="en-GB"/>
        </w:rPr>
        <w:t>Indices of Deprivation 201</w:t>
      </w:r>
      <w:r w:rsidR="0097334A">
        <w:rPr>
          <w:rFonts w:ascii="FrutigerLTStd-Light" w:hAnsi="FrutigerLTStd-Light" w:cs="FrutigerLTStd-Light"/>
          <w:lang w:eastAsia="en-GB"/>
        </w:rPr>
        <w:t>5</w:t>
      </w:r>
      <w:r w:rsidRPr="001125A5">
        <w:rPr>
          <w:rFonts w:ascii="FrutigerLTStd-Light" w:hAnsi="FrutigerLTStd-Light" w:cs="FrutigerLTStd-Light"/>
          <w:lang w:eastAsia="en-GB"/>
        </w:rPr>
        <w:t>.</w:t>
      </w:r>
    </w:p>
    <w:p w:rsidR="00342DE8" w:rsidRDefault="00342DE8" w:rsidP="009B0B67">
      <w:pPr>
        <w:pStyle w:val="Heading2"/>
      </w:pPr>
      <w:r w:rsidRPr="00A00107">
        <w:t>Local Authority Summaries</w:t>
      </w:r>
    </w:p>
    <w:p w:rsidR="00446FA4" w:rsidRPr="00446FA4" w:rsidRDefault="00446FA4" w:rsidP="00446FA4"/>
    <w:p w:rsidR="005A0BAD" w:rsidRDefault="00342DE8" w:rsidP="005738D6">
      <w:pPr>
        <w:jc w:val="both"/>
      </w:pPr>
      <w:r w:rsidRPr="00A00107">
        <w:t>Each local authority has been assigned a score</w:t>
      </w:r>
      <w:r w:rsidR="00905CD4">
        <w:t xml:space="preserve"> based on deprivation levels,</w:t>
      </w:r>
      <w:r w:rsidRPr="00A00107">
        <w:t xml:space="preserve"> and </w:t>
      </w:r>
      <w:r w:rsidR="00905CD4">
        <w:t>a</w:t>
      </w:r>
      <w:r w:rsidR="005738D6">
        <w:t>lso a</w:t>
      </w:r>
      <w:r w:rsidR="00905CD4">
        <w:t xml:space="preserve"> </w:t>
      </w:r>
      <w:r w:rsidRPr="00A00107">
        <w:t xml:space="preserve">rank based on </w:t>
      </w:r>
      <w:r w:rsidR="005738D6">
        <w:t xml:space="preserve">each of the </w:t>
      </w:r>
      <w:r w:rsidRPr="00A00107">
        <w:t>s</w:t>
      </w:r>
      <w:r w:rsidR="00905CD4">
        <w:t>cores.</w:t>
      </w:r>
      <w:r w:rsidRPr="00A00107">
        <w:t xml:space="preserve"> Scores and ranks are provided for the following: </w:t>
      </w:r>
      <w:r w:rsidR="00502370">
        <w:t xml:space="preserve">average score, average rank, </w:t>
      </w:r>
      <w:r w:rsidRPr="00A00107">
        <w:t xml:space="preserve">extent, local concentration, </w:t>
      </w:r>
      <w:r w:rsidR="00FB47D2">
        <w:t xml:space="preserve">proportion of LSOAs in most deprived 10% nationally, </w:t>
      </w:r>
      <w:r w:rsidRPr="00A00107">
        <w:t>income scale and employment scale.</w:t>
      </w:r>
      <w:r w:rsidR="00597986">
        <w:t xml:space="preserve"> </w:t>
      </w:r>
      <w:r w:rsidR="00905CD4">
        <w:t xml:space="preserve">This report </w:t>
      </w:r>
      <w:r w:rsidR="001511E7" w:rsidRPr="00A00107">
        <w:t xml:space="preserve"> </w:t>
      </w:r>
      <w:r w:rsidR="005738D6">
        <w:t xml:space="preserve">focuses </w:t>
      </w:r>
      <w:r w:rsidR="001511E7" w:rsidRPr="00A00107">
        <w:t xml:space="preserve">on the </w:t>
      </w:r>
      <w:r w:rsidR="00882261" w:rsidRPr="00A00107">
        <w:t xml:space="preserve">average score and </w:t>
      </w:r>
      <w:r w:rsidR="00905CD4">
        <w:t xml:space="preserve">average </w:t>
      </w:r>
      <w:r w:rsidR="00882261" w:rsidRPr="00A00107">
        <w:t>rank for the most deprived twenty local authorities</w:t>
      </w:r>
      <w:r w:rsidR="005738D6">
        <w:t xml:space="preserve"> nationally</w:t>
      </w:r>
      <w:r w:rsidR="00882261" w:rsidRPr="00A00107">
        <w:t xml:space="preserve">. </w:t>
      </w:r>
      <w:r w:rsidR="005738D6">
        <w:t>However, t</w:t>
      </w:r>
      <w:r w:rsidR="00882261" w:rsidRPr="00A00107">
        <w:t>here is no sin</w:t>
      </w:r>
      <w:r w:rsidRPr="00A00107">
        <w:t>gle summary that is preferred over another and the best way to compare the local authorities re</w:t>
      </w:r>
      <w:r w:rsidR="00597986">
        <w:t xml:space="preserve">quires consideration of all the </w:t>
      </w:r>
      <w:r w:rsidRPr="00A00107">
        <w:t>measures.</w:t>
      </w:r>
    </w:p>
    <w:tbl>
      <w:tblPr>
        <w:tblStyle w:val="TableGrid"/>
        <w:tblW w:w="10774" w:type="dxa"/>
        <w:tblInd w:w="-176" w:type="dxa"/>
        <w:tblLayout w:type="fixed"/>
        <w:tblLook w:val="04A0" w:firstRow="1" w:lastRow="0" w:firstColumn="1" w:lastColumn="0" w:noHBand="0" w:noVBand="1"/>
      </w:tblPr>
      <w:tblGrid>
        <w:gridCol w:w="2411"/>
        <w:gridCol w:w="708"/>
        <w:gridCol w:w="709"/>
        <w:gridCol w:w="709"/>
        <w:gridCol w:w="709"/>
        <w:gridCol w:w="283"/>
        <w:gridCol w:w="2410"/>
        <w:gridCol w:w="709"/>
        <w:gridCol w:w="708"/>
        <w:gridCol w:w="709"/>
        <w:gridCol w:w="709"/>
      </w:tblGrid>
      <w:tr w:rsidR="00ED24E5" w:rsidTr="00821A55">
        <w:trPr>
          <w:trHeight w:hRule="exact" w:val="567"/>
        </w:trPr>
        <w:tc>
          <w:tcPr>
            <w:tcW w:w="2411" w:type="dxa"/>
            <w:vMerge w:val="restart"/>
            <w:tcBorders>
              <w:top w:val="single" w:sz="4" w:space="0" w:color="008000"/>
              <w:left w:val="single" w:sz="4" w:space="0" w:color="008000"/>
              <w:right w:val="single" w:sz="4" w:space="0" w:color="FFFFFF" w:themeColor="background1"/>
            </w:tcBorders>
            <w:shd w:val="clear" w:color="auto" w:fill="008000"/>
            <w:vAlign w:val="bottom"/>
          </w:tcPr>
          <w:p w:rsidR="00ED24E5" w:rsidRPr="001A3350" w:rsidRDefault="00ED24E5" w:rsidP="00ED24E5">
            <w:pPr>
              <w:spacing w:after="0"/>
              <w:jc w:val="center"/>
              <w:rPr>
                <w:rFonts w:cs="Arial"/>
                <w:b/>
                <w:bCs/>
                <w:color w:val="FFFFFF"/>
                <w:sz w:val="20"/>
                <w:szCs w:val="20"/>
                <w:lang w:eastAsia="en-GB"/>
              </w:rPr>
            </w:pPr>
            <w:r w:rsidRPr="001A3350">
              <w:rPr>
                <w:rFonts w:cs="Arial"/>
                <w:b/>
                <w:bCs/>
                <w:color w:val="FFFFFF"/>
                <w:sz w:val="20"/>
                <w:szCs w:val="20"/>
                <w:lang w:eastAsia="en-GB"/>
              </w:rPr>
              <w:lastRenderedPageBreak/>
              <w:t>Local Authority</w:t>
            </w:r>
          </w:p>
        </w:tc>
        <w:tc>
          <w:tcPr>
            <w:tcW w:w="2835" w:type="dxa"/>
            <w:gridSpan w:val="4"/>
            <w:tcBorders>
              <w:top w:val="single" w:sz="4" w:space="0" w:color="008000"/>
              <w:left w:val="single" w:sz="4" w:space="0" w:color="FFFFFF" w:themeColor="background1"/>
              <w:bottom w:val="single" w:sz="4" w:space="0" w:color="FFFFFF" w:themeColor="background1"/>
              <w:right w:val="single" w:sz="4" w:space="0" w:color="008000"/>
            </w:tcBorders>
            <w:shd w:val="clear" w:color="auto" w:fill="008000"/>
            <w:vAlign w:val="center"/>
          </w:tcPr>
          <w:p w:rsidR="00ED24E5" w:rsidRPr="001A3350" w:rsidRDefault="00ED24E5" w:rsidP="00300906">
            <w:pPr>
              <w:spacing w:after="0"/>
              <w:jc w:val="center"/>
              <w:rPr>
                <w:rFonts w:cs="Arial"/>
                <w:b/>
                <w:bCs/>
                <w:color w:val="FFFFFF"/>
                <w:sz w:val="20"/>
                <w:szCs w:val="20"/>
                <w:lang w:eastAsia="en-GB"/>
              </w:rPr>
            </w:pPr>
            <w:r w:rsidRPr="001A3350">
              <w:rPr>
                <w:rFonts w:cs="Arial"/>
                <w:b/>
                <w:bCs/>
                <w:color w:val="FFFFFF"/>
                <w:sz w:val="20"/>
                <w:szCs w:val="20"/>
                <w:lang w:eastAsia="en-GB"/>
              </w:rPr>
              <w:t>Rank of Average Score</w:t>
            </w:r>
          </w:p>
        </w:tc>
        <w:tc>
          <w:tcPr>
            <w:tcW w:w="283" w:type="dxa"/>
            <w:tcBorders>
              <w:top w:val="nil"/>
              <w:left w:val="single" w:sz="4" w:space="0" w:color="008000"/>
              <w:bottom w:val="nil"/>
              <w:right w:val="single" w:sz="4" w:space="0" w:color="008000"/>
            </w:tcBorders>
            <w:shd w:val="clear" w:color="auto" w:fill="auto"/>
            <w:vAlign w:val="bottom"/>
          </w:tcPr>
          <w:p w:rsidR="00ED24E5" w:rsidRPr="001A3350" w:rsidRDefault="00ED24E5" w:rsidP="00ED24E5">
            <w:pPr>
              <w:spacing w:after="0"/>
              <w:jc w:val="center"/>
              <w:rPr>
                <w:rFonts w:cs="Arial"/>
                <w:b/>
                <w:bCs/>
                <w:color w:val="FFFFFF"/>
                <w:sz w:val="20"/>
                <w:szCs w:val="20"/>
                <w:lang w:eastAsia="en-GB"/>
              </w:rPr>
            </w:pPr>
            <w:r w:rsidRPr="001A3350">
              <w:rPr>
                <w:rFonts w:cs="Arial"/>
                <w:b/>
                <w:bCs/>
                <w:color w:val="FFFFFF"/>
                <w:sz w:val="20"/>
                <w:szCs w:val="20"/>
                <w:lang w:eastAsia="en-GB"/>
              </w:rPr>
              <w:t>Local Authority</w:t>
            </w:r>
          </w:p>
        </w:tc>
        <w:tc>
          <w:tcPr>
            <w:tcW w:w="2410" w:type="dxa"/>
            <w:vMerge w:val="restart"/>
            <w:tcBorders>
              <w:top w:val="single" w:sz="4" w:space="0" w:color="008000"/>
              <w:left w:val="single" w:sz="4" w:space="0" w:color="008000"/>
              <w:right w:val="single" w:sz="4" w:space="0" w:color="FFFFFF" w:themeColor="background1"/>
            </w:tcBorders>
            <w:shd w:val="clear" w:color="auto" w:fill="008000"/>
            <w:vAlign w:val="bottom"/>
          </w:tcPr>
          <w:p w:rsidR="00ED24E5" w:rsidRPr="001A3350" w:rsidRDefault="00ED24E5" w:rsidP="00ED24E5">
            <w:pPr>
              <w:spacing w:after="0"/>
              <w:jc w:val="center"/>
              <w:rPr>
                <w:rFonts w:cs="Arial"/>
                <w:b/>
                <w:bCs/>
                <w:color w:val="FFFFFF"/>
                <w:sz w:val="20"/>
                <w:szCs w:val="20"/>
                <w:lang w:eastAsia="en-GB"/>
              </w:rPr>
            </w:pPr>
            <w:r w:rsidRPr="001A3350">
              <w:rPr>
                <w:rFonts w:cs="Arial"/>
                <w:b/>
                <w:bCs/>
                <w:color w:val="FFFFFF"/>
                <w:sz w:val="20"/>
                <w:szCs w:val="20"/>
                <w:lang w:eastAsia="en-GB"/>
              </w:rPr>
              <w:t>Local Authority</w:t>
            </w:r>
          </w:p>
        </w:tc>
        <w:tc>
          <w:tcPr>
            <w:tcW w:w="2835" w:type="dxa"/>
            <w:gridSpan w:val="4"/>
            <w:tcBorders>
              <w:top w:val="single" w:sz="4" w:space="0" w:color="008000"/>
              <w:left w:val="single" w:sz="4" w:space="0" w:color="FFFFFF" w:themeColor="background1"/>
              <w:bottom w:val="single" w:sz="4" w:space="0" w:color="FFFFFF" w:themeColor="background1"/>
              <w:right w:val="single" w:sz="4" w:space="0" w:color="008000"/>
            </w:tcBorders>
            <w:shd w:val="clear" w:color="auto" w:fill="008000"/>
            <w:vAlign w:val="center"/>
          </w:tcPr>
          <w:p w:rsidR="00ED24E5" w:rsidRPr="001A3350" w:rsidRDefault="00ED24E5" w:rsidP="00300906">
            <w:pPr>
              <w:spacing w:after="0"/>
              <w:jc w:val="center"/>
              <w:rPr>
                <w:rFonts w:cs="Arial"/>
                <w:b/>
                <w:bCs/>
                <w:color w:val="FFFFFF"/>
                <w:sz w:val="20"/>
                <w:szCs w:val="20"/>
                <w:lang w:eastAsia="en-GB"/>
              </w:rPr>
            </w:pPr>
            <w:r w:rsidRPr="001A3350">
              <w:rPr>
                <w:rFonts w:cs="Arial"/>
                <w:b/>
                <w:bCs/>
                <w:color w:val="FFFFFF"/>
                <w:sz w:val="20"/>
                <w:szCs w:val="20"/>
                <w:lang w:eastAsia="en-GB"/>
              </w:rPr>
              <w:t>Rank of Average Rank</w:t>
            </w:r>
          </w:p>
        </w:tc>
      </w:tr>
      <w:tr w:rsidR="00821A55" w:rsidTr="00821A55">
        <w:tc>
          <w:tcPr>
            <w:tcW w:w="2411" w:type="dxa"/>
            <w:vMerge/>
            <w:tcBorders>
              <w:left w:val="single" w:sz="4" w:space="0" w:color="008000"/>
              <w:bottom w:val="single" w:sz="4" w:space="0" w:color="008000"/>
              <w:right w:val="single" w:sz="4" w:space="0" w:color="FFFFFF" w:themeColor="background1"/>
            </w:tcBorders>
            <w:shd w:val="clear" w:color="auto" w:fill="008000"/>
            <w:vAlign w:val="center"/>
          </w:tcPr>
          <w:p w:rsidR="00ED24E5" w:rsidRDefault="00ED24E5" w:rsidP="00ED24E5">
            <w:pPr>
              <w:jc w:val="both"/>
            </w:pPr>
          </w:p>
        </w:tc>
        <w:tc>
          <w:tcPr>
            <w:tcW w:w="708" w:type="dxa"/>
            <w:tcBorders>
              <w:top w:val="single" w:sz="4" w:space="0" w:color="FFFFFF" w:themeColor="background1"/>
              <w:left w:val="single" w:sz="4" w:space="0" w:color="FFFFFF" w:themeColor="background1"/>
              <w:bottom w:val="single" w:sz="4" w:space="0" w:color="008000"/>
              <w:right w:val="single" w:sz="4" w:space="0" w:color="FFFFFF" w:themeColor="background1"/>
            </w:tcBorders>
            <w:shd w:val="clear" w:color="auto" w:fill="008000"/>
            <w:vAlign w:val="bottom"/>
          </w:tcPr>
          <w:p w:rsidR="00ED24E5" w:rsidRPr="001A3350" w:rsidRDefault="00ED24E5" w:rsidP="00ED24E5">
            <w:pPr>
              <w:spacing w:after="0"/>
              <w:jc w:val="center"/>
              <w:rPr>
                <w:rFonts w:cs="Arial"/>
                <w:b/>
                <w:bCs/>
                <w:color w:val="FFFFFF"/>
                <w:sz w:val="20"/>
                <w:szCs w:val="20"/>
                <w:lang w:eastAsia="en-GB"/>
              </w:rPr>
            </w:pPr>
            <w:r>
              <w:rPr>
                <w:rFonts w:cs="Arial"/>
                <w:b/>
                <w:bCs/>
                <w:color w:val="FFFFFF"/>
                <w:sz w:val="20"/>
                <w:szCs w:val="20"/>
                <w:lang w:eastAsia="en-GB"/>
              </w:rPr>
              <w:t>2015</w:t>
            </w:r>
          </w:p>
        </w:tc>
        <w:tc>
          <w:tcPr>
            <w:tcW w:w="709" w:type="dxa"/>
            <w:tcBorders>
              <w:top w:val="single" w:sz="4" w:space="0" w:color="FFFFFF" w:themeColor="background1"/>
              <w:left w:val="single" w:sz="4" w:space="0" w:color="FFFFFF" w:themeColor="background1"/>
              <w:bottom w:val="single" w:sz="4" w:space="0" w:color="008000"/>
              <w:right w:val="single" w:sz="4" w:space="0" w:color="FFFFFF" w:themeColor="background1"/>
            </w:tcBorders>
            <w:shd w:val="clear" w:color="auto" w:fill="008000"/>
            <w:vAlign w:val="bottom"/>
          </w:tcPr>
          <w:p w:rsidR="00ED24E5" w:rsidRPr="001A3350" w:rsidRDefault="00ED24E5" w:rsidP="00ED24E5">
            <w:pPr>
              <w:spacing w:after="0"/>
              <w:jc w:val="center"/>
              <w:rPr>
                <w:rFonts w:cs="Arial"/>
                <w:b/>
                <w:bCs/>
                <w:color w:val="FFFFFF"/>
                <w:sz w:val="20"/>
                <w:szCs w:val="20"/>
                <w:lang w:eastAsia="en-GB"/>
              </w:rPr>
            </w:pPr>
            <w:r w:rsidRPr="001A3350">
              <w:rPr>
                <w:rFonts w:cs="Arial"/>
                <w:b/>
                <w:bCs/>
                <w:color w:val="FFFFFF"/>
                <w:sz w:val="20"/>
                <w:szCs w:val="20"/>
                <w:lang w:eastAsia="en-GB"/>
              </w:rPr>
              <w:t>2010</w:t>
            </w:r>
          </w:p>
        </w:tc>
        <w:tc>
          <w:tcPr>
            <w:tcW w:w="709" w:type="dxa"/>
            <w:tcBorders>
              <w:top w:val="single" w:sz="4" w:space="0" w:color="FFFFFF" w:themeColor="background1"/>
              <w:left w:val="single" w:sz="4" w:space="0" w:color="FFFFFF" w:themeColor="background1"/>
              <w:bottom w:val="single" w:sz="4" w:space="0" w:color="008000"/>
              <w:right w:val="single" w:sz="4" w:space="0" w:color="FFFFFF" w:themeColor="background1"/>
            </w:tcBorders>
            <w:shd w:val="clear" w:color="auto" w:fill="008000"/>
            <w:vAlign w:val="bottom"/>
          </w:tcPr>
          <w:p w:rsidR="00ED24E5" w:rsidRPr="001A3350" w:rsidRDefault="00ED24E5" w:rsidP="00ED24E5">
            <w:pPr>
              <w:spacing w:after="0"/>
              <w:jc w:val="center"/>
              <w:rPr>
                <w:rFonts w:cs="Arial"/>
                <w:b/>
                <w:bCs/>
                <w:color w:val="FFFFFF"/>
                <w:sz w:val="20"/>
                <w:szCs w:val="20"/>
                <w:lang w:eastAsia="en-GB"/>
              </w:rPr>
            </w:pPr>
            <w:r w:rsidRPr="001A3350">
              <w:rPr>
                <w:rFonts w:cs="Arial"/>
                <w:b/>
                <w:bCs/>
                <w:color w:val="FFFFFF"/>
                <w:sz w:val="20"/>
                <w:szCs w:val="20"/>
                <w:lang w:eastAsia="en-GB"/>
              </w:rPr>
              <w:t>2007</w:t>
            </w:r>
          </w:p>
        </w:tc>
        <w:tc>
          <w:tcPr>
            <w:tcW w:w="709" w:type="dxa"/>
            <w:tcBorders>
              <w:top w:val="single" w:sz="4" w:space="0" w:color="FFFFFF" w:themeColor="background1"/>
              <w:left w:val="single" w:sz="4" w:space="0" w:color="FFFFFF" w:themeColor="background1"/>
              <w:bottom w:val="single" w:sz="4" w:space="0" w:color="008000"/>
              <w:right w:val="single" w:sz="4" w:space="0" w:color="008000"/>
            </w:tcBorders>
            <w:shd w:val="clear" w:color="auto" w:fill="008000"/>
            <w:vAlign w:val="bottom"/>
          </w:tcPr>
          <w:p w:rsidR="00ED24E5" w:rsidRPr="001A3350" w:rsidRDefault="00ED24E5" w:rsidP="00ED24E5">
            <w:pPr>
              <w:spacing w:after="0"/>
              <w:jc w:val="center"/>
              <w:rPr>
                <w:rFonts w:cs="Arial"/>
                <w:b/>
                <w:bCs/>
                <w:color w:val="FFFFFF"/>
                <w:sz w:val="20"/>
                <w:szCs w:val="20"/>
                <w:lang w:eastAsia="en-GB"/>
              </w:rPr>
            </w:pPr>
            <w:r w:rsidRPr="001A3350">
              <w:rPr>
                <w:rFonts w:cs="Arial"/>
                <w:b/>
                <w:bCs/>
                <w:color w:val="FFFFFF"/>
                <w:sz w:val="20"/>
                <w:szCs w:val="20"/>
                <w:lang w:eastAsia="en-GB"/>
              </w:rPr>
              <w:t>2004</w:t>
            </w:r>
          </w:p>
        </w:tc>
        <w:tc>
          <w:tcPr>
            <w:tcW w:w="283" w:type="dxa"/>
            <w:tcBorders>
              <w:top w:val="nil"/>
              <w:left w:val="single" w:sz="4" w:space="0" w:color="008000"/>
              <w:bottom w:val="nil"/>
              <w:right w:val="single" w:sz="4" w:space="0" w:color="008000"/>
            </w:tcBorders>
            <w:shd w:val="clear" w:color="auto" w:fill="auto"/>
          </w:tcPr>
          <w:p w:rsidR="00ED24E5" w:rsidRDefault="00ED24E5" w:rsidP="00ED24E5">
            <w:pPr>
              <w:jc w:val="both"/>
            </w:pPr>
          </w:p>
        </w:tc>
        <w:tc>
          <w:tcPr>
            <w:tcW w:w="2410" w:type="dxa"/>
            <w:vMerge/>
            <w:tcBorders>
              <w:left w:val="single" w:sz="4" w:space="0" w:color="008000"/>
              <w:bottom w:val="single" w:sz="4" w:space="0" w:color="008000"/>
              <w:right w:val="single" w:sz="4" w:space="0" w:color="FFFFFF" w:themeColor="background1"/>
            </w:tcBorders>
            <w:shd w:val="clear" w:color="auto" w:fill="008000"/>
          </w:tcPr>
          <w:p w:rsidR="00ED24E5" w:rsidRDefault="00ED24E5" w:rsidP="00ED24E5">
            <w:pPr>
              <w:jc w:val="both"/>
            </w:pPr>
          </w:p>
        </w:tc>
        <w:tc>
          <w:tcPr>
            <w:tcW w:w="709" w:type="dxa"/>
            <w:tcBorders>
              <w:top w:val="single" w:sz="4" w:space="0" w:color="FFFFFF" w:themeColor="background1"/>
              <w:left w:val="single" w:sz="4" w:space="0" w:color="FFFFFF" w:themeColor="background1"/>
              <w:bottom w:val="single" w:sz="4" w:space="0" w:color="008000"/>
              <w:right w:val="single" w:sz="4" w:space="0" w:color="FFFFFF" w:themeColor="background1"/>
            </w:tcBorders>
            <w:shd w:val="clear" w:color="auto" w:fill="008000"/>
            <w:vAlign w:val="bottom"/>
          </w:tcPr>
          <w:p w:rsidR="00ED24E5" w:rsidRPr="001A3350" w:rsidRDefault="00ED24E5" w:rsidP="00ED24E5">
            <w:pPr>
              <w:spacing w:after="0"/>
              <w:jc w:val="center"/>
              <w:rPr>
                <w:rFonts w:cs="Arial"/>
                <w:b/>
                <w:bCs/>
                <w:color w:val="FFFFFF"/>
                <w:sz w:val="20"/>
                <w:szCs w:val="20"/>
                <w:lang w:eastAsia="en-GB"/>
              </w:rPr>
            </w:pPr>
            <w:r>
              <w:rPr>
                <w:rFonts w:cs="Arial"/>
                <w:b/>
                <w:bCs/>
                <w:color w:val="FFFFFF"/>
                <w:sz w:val="20"/>
                <w:szCs w:val="20"/>
                <w:lang w:eastAsia="en-GB"/>
              </w:rPr>
              <w:t>2015</w:t>
            </w:r>
          </w:p>
        </w:tc>
        <w:tc>
          <w:tcPr>
            <w:tcW w:w="708" w:type="dxa"/>
            <w:tcBorders>
              <w:top w:val="single" w:sz="4" w:space="0" w:color="FFFFFF" w:themeColor="background1"/>
              <w:left w:val="single" w:sz="4" w:space="0" w:color="FFFFFF" w:themeColor="background1"/>
              <w:bottom w:val="single" w:sz="4" w:space="0" w:color="008000"/>
              <w:right w:val="single" w:sz="4" w:space="0" w:color="FFFFFF" w:themeColor="background1"/>
            </w:tcBorders>
            <w:shd w:val="clear" w:color="auto" w:fill="008000"/>
            <w:vAlign w:val="bottom"/>
          </w:tcPr>
          <w:p w:rsidR="00ED24E5" w:rsidRPr="001A3350" w:rsidRDefault="00ED24E5" w:rsidP="00ED24E5">
            <w:pPr>
              <w:spacing w:after="0"/>
              <w:jc w:val="center"/>
              <w:rPr>
                <w:rFonts w:cs="Arial"/>
                <w:b/>
                <w:bCs/>
                <w:color w:val="FFFFFF"/>
                <w:sz w:val="20"/>
                <w:szCs w:val="20"/>
                <w:lang w:eastAsia="en-GB"/>
              </w:rPr>
            </w:pPr>
            <w:r w:rsidRPr="001A3350">
              <w:rPr>
                <w:rFonts w:cs="Arial"/>
                <w:b/>
                <w:bCs/>
                <w:color w:val="FFFFFF"/>
                <w:sz w:val="20"/>
                <w:szCs w:val="20"/>
                <w:lang w:eastAsia="en-GB"/>
              </w:rPr>
              <w:t>2010</w:t>
            </w:r>
          </w:p>
        </w:tc>
        <w:tc>
          <w:tcPr>
            <w:tcW w:w="709" w:type="dxa"/>
            <w:tcBorders>
              <w:top w:val="single" w:sz="4" w:space="0" w:color="FFFFFF" w:themeColor="background1"/>
              <w:left w:val="single" w:sz="4" w:space="0" w:color="FFFFFF" w:themeColor="background1"/>
              <w:bottom w:val="single" w:sz="4" w:space="0" w:color="008000"/>
              <w:right w:val="single" w:sz="4" w:space="0" w:color="FFFFFF" w:themeColor="background1"/>
            </w:tcBorders>
            <w:shd w:val="clear" w:color="auto" w:fill="008000"/>
            <w:vAlign w:val="bottom"/>
          </w:tcPr>
          <w:p w:rsidR="00ED24E5" w:rsidRPr="001A3350" w:rsidRDefault="00ED24E5" w:rsidP="00ED24E5">
            <w:pPr>
              <w:spacing w:after="0"/>
              <w:jc w:val="center"/>
              <w:rPr>
                <w:rFonts w:cs="Arial"/>
                <w:b/>
                <w:bCs/>
                <w:color w:val="FFFFFF"/>
                <w:sz w:val="20"/>
                <w:szCs w:val="20"/>
                <w:lang w:eastAsia="en-GB"/>
              </w:rPr>
            </w:pPr>
            <w:r w:rsidRPr="001A3350">
              <w:rPr>
                <w:rFonts w:cs="Arial"/>
                <w:b/>
                <w:bCs/>
                <w:color w:val="FFFFFF"/>
                <w:sz w:val="20"/>
                <w:szCs w:val="20"/>
                <w:lang w:eastAsia="en-GB"/>
              </w:rPr>
              <w:t>2007</w:t>
            </w:r>
          </w:p>
        </w:tc>
        <w:tc>
          <w:tcPr>
            <w:tcW w:w="709" w:type="dxa"/>
            <w:tcBorders>
              <w:top w:val="single" w:sz="4" w:space="0" w:color="FFFFFF" w:themeColor="background1"/>
              <w:left w:val="single" w:sz="4" w:space="0" w:color="FFFFFF" w:themeColor="background1"/>
              <w:bottom w:val="single" w:sz="4" w:space="0" w:color="008000"/>
              <w:right w:val="single" w:sz="4" w:space="0" w:color="008000"/>
            </w:tcBorders>
            <w:shd w:val="clear" w:color="auto" w:fill="008000"/>
            <w:vAlign w:val="bottom"/>
          </w:tcPr>
          <w:p w:rsidR="00ED24E5" w:rsidRPr="001A3350" w:rsidRDefault="00ED24E5" w:rsidP="00ED24E5">
            <w:pPr>
              <w:spacing w:after="0"/>
              <w:jc w:val="center"/>
              <w:rPr>
                <w:rFonts w:cs="Arial"/>
                <w:b/>
                <w:bCs/>
                <w:color w:val="FFFFFF"/>
                <w:sz w:val="20"/>
                <w:szCs w:val="20"/>
                <w:lang w:eastAsia="en-GB"/>
              </w:rPr>
            </w:pPr>
            <w:r w:rsidRPr="001A3350">
              <w:rPr>
                <w:rFonts w:cs="Arial"/>
                <w:b/>
                <w:bCs/>
                <w:color w:val="FFFFFF"/>
                <w:sz w:val="20"/>
                <w:szCs w:val="20"/>
                <w:lang w:eastAsia="en-GB"/>
              </w:rPr>
              <w:t>2004</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Blackpool</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6</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12</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24</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Manchester</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4</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4</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3</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Knowsley</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5</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5</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3</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Hackney</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Kingston upon Hull</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3</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10</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11</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9</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Barking and Dagenham</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3</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8</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11</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21</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Liverpool</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4</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Blackpool</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4</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10</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18</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26</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Manchester</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5</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4</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4</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Knowsley</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5</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12</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8</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8</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Middlesbrough</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6</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8</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9</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10</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Tower Hamlets</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6</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3</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3</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Birmingham</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7</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9</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10</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15</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Liverpool</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7</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5</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5</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5</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Nottingham</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8</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20</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13</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7</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Newham</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8</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6</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Burnley</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9</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11</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21</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37</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Kingston upon Hull</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9</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15</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16</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11</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Tower Hamlets</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10</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7</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3</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4</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Nottingham</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10</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17</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12</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9</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Hackney</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11</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5</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Birmingham</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11</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13</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14</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16</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Barking and Dagenham</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12</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22</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22</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42</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shd w:val="clear" w:color="auto" w:fill="99CC00"/>
            <w:vAlign w:val="bottom"/>
          </w:tcPr>
          <w:p w:rsidR="00821A55" w:rsidRPr="00597986" w:rsidRDefault="00821A55" w:rsidP="00821A55">
            <w:pPr>
              <w:rPr>
                <w:rFonts w:cs="Arial"/>
                <w:b/>
                <w:sz w:val="20"/>
                <w:szCs w:val="20"/>
              </w:rPr>
            </w:pPr>
            <w:r w:rsidRPr="00597986">
              <w:rPr>
                <w:rFonts w:cs="Arial"/>
                <w:b/>
                <w:sz w:val="20"/>
                <w:szCs w:val="20"/>
              </w:rPr>
              <w:t>Sandwell</w:t>
            </w:r>
          </w:p>
        </w:tc>
        <w:tc>
          <w:tcPr>
            <w:tcW w:w="709" w:type="dxa"/>
            <w:tcBorders>
              <w:top w:val="single" w:sz="4" w:space="0" w:color="008000"/>
              <w:left w:val="single" w:sz="4" w:space="0" w:color="008000"/>
              <w:bottom w:val="single" w:sz="4" w:space="0" w:color="008000"/>
              <w:right w:val="single" w:sz="4" w:space="0" w:color="008000"/>
            </w:tcBorders>
            <w:shd w:val="clear" w:color="auto" w:fill="99CC00"/>
            <w:vAlign w:val="bottom"/>
          </w:tcPr>
          <w:p w:rsidR="00821A55" w:rsidRPr="00597986" w:rsidRDefault="00821A55" w:rsidP="00821A55">
            <w:pPr>
              <w:jc w:val="right"/>
              <w:rPr>
                <w:rFonts w:cs="Arial"/>
                <w:b/>
                <w:sz w:val="20"/>
                <w:szCs w:val="20"/>
              </w:rPr>
            </w:pPr>
            <w:r w:rsidRPr="00597986">
              <w:rPr>
                <w:rFonts w:cs="Arial"/>
                <w:b/>
                <w:sz w:val="20"/>
                <w:szCs w:val="20"/>
              </w:rPr>
              <w:t>12</w:t>
            </w:r>
          </w:p>
        </w:tc>
        <w:tc>
          <w:tcPr>
            <w:tcW w:w="708" w:type="dxa"/>
            <w:tcBorders>
              <w:top w:val="single" w:sz="4" w:space="0" w:color="008000"/>
              <w:left w:val="single" w:sz="4" w:space="0" w:color="008000"/>
              <w:bottom w:val="single" w:sz="4" w:space="0" w:color="008000"/>
              <w:right w:val="single" w:sz="4" w:space="0" w:color="008000"/>
            </w:tcBorders>
            <w:shd w:val="clear" w:color="auto" w:fill="99CC00"/>
            <w:vAlign w:val="bottom"/>
          </w:tcPr>
          <w:p w:rsidR="00821A55" w:rsidRPr="00597986" w:rsidRDefault="00821A55" w:rsidP="00821A55">
            <w:pPr>
              <w:jc w:val="right"/>
              <w:rPr>
                <w:rFonts w:cs="Arial"/>
                <w:b/>
                <w:sz w:val="20"/>
                <w:szCs w:val="20"/>
              </w:rPr>
            </w:pPr>
            <w:r w:rsidRPr="00597986">
              <w:rPr>
                <w:rFonts w:cs="Arial"/>
                <w:b/>
                <w:sz w:val="20"/>
                <w:szCs w:val="20"/>
              </w:rPr>
              <w:t>9</w:t>
            </w:r>
          </w:p>
        </w:tc>
        <w:tc>
          <w:tcPr>
            <w:tcW w:w="709" w:type="dxa"/>
            <w:tcBorders>
              <w:top w:val="single" w:sz="4" w:space="0" w:color="008000"/>
              <w:left w:val="single" w:sz="4" w:space="0" w:color="008000"/>
              <w:bottom w:val="single" w:sz="4" w:space="0" w:color="008000"/>
              <w:right w:val="single" w:sz="4" w:space="0" w:color="008000"/>
            </w:tcBorders>
            <w:shd w:val="clear" w:color="auto" w:fill="99CC00"/>
            <w:vAlign w:val="bottom"/>
          </w:tcPr>
          <w:p w:rsidR="00821A55" w:rsidRPr="00597986" w:rsidRDefault="00821A55" w:rsidP="00821A55">
            <w:pPr>
              <w:jc w:val="right"/>
              <w:rPr>
                <w:rFonts w:cs="Arial"/>
                <w:b/>
                <w:sz w:val="20"/>
                <w:szCs w:val="20"/>
              </w:rPr>
            </w:pPr>
            <w:r w:rsidRPr="00597986">
              <w:rPr>
                <w:rFonts w:cs="Arial"/>
                <w:b/>
                <w:sz w:val="20"/>
                <w:szCs w:val="20"/>
              </w:rPr>
              <w:t>10</w:t>
            </w:r>
          </w:p>
        </w:tc>
        <w:tc>
          <w:tcPr>
            <w:tcW w:w="709" w:type="dxa"/>
            <w:tcBorders>
              <w:top w:val="single" w:sz="4" w:space="0" w:color="008000"/>
              <w:left w:val="single" w:sz="4" w:space="0" w:color="008000"/>
              <w:bottom w:val="single" w:sz="4" w:space="0" w:color="008000"/>
              <w:right w:val="single" w:sz="4" w:space="0" w:color="008000"/>
            </w:tcBorders>
            <w:shd w:val="clear" w:color="auto" w:fill="99CC00"/>
            <w:vAlign w:val="bottom"/>
          </w:tcPr>
          <w:p w:rsidR="00821A55" w:rsidRPr="00597986" w:rsidRDefault="00821A55" w:rsidP="00821A55">
            <w:pPr>
              <w:jc w:val="right"/>
              <w:rPr>
                <w:rFonts w:cs="Arial"/>
                <w:b/>
                <w:sz w:val="20"/>
                <w:szCs w:val="20"/>
              </w:rPr>
            </w:pPr>
            <w:r w:rsidRPr="00597986">
              <w:rPr>
                <w:rFonts w:cs="Arial"/>
                <w:b/>
                <w:sz w:val="20"/>
                <w:szCs w:val="20"/>
              </w:rPr>
              <w:t>14</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shd w:val="clear" w:color="auto" w:fill="99CC00"/>
            <w:vAlign w:val="bottom"/>
          </w:tcPr>
          <w:p w:rsidR="00821A55" w:rsidRPr="00597986" w:rsidRDefault="00821A55" w:rsidP="00821A55">
            <w:pPr>
              <w:rPr>
                <w:rFonts w:cs="Arial"/>
                <w:b/>
                <w:sz w:val="20"/>
                <w:szCs w:val="20"/>
              </w:rPr>
            </w:pPr>
            <w:r w:rsidRPr="00597986">
              <w:rPr>
                <w:rFonts w:cs="Arial"/>
                <w:b/>
                <w:sz w:val="20"/>
                <w:szCs w:val="20"/>
              </w:rPr>
              <w:t>Sandwell</w:t>
            </w:r>
          </w:p>
        </w:tc>
        <w:tc>
          <w:tcPr>
            <w:tcW w:w="708" w:type="dxa"/>
            <w:tcBorders>
              <w:top w:val="single" w:sz="4" w:space="0" w:color="008000"/>
              <w:left w:val="single" w:sz="4" w:space="0" w:color="008000"/>
              <w:bottom w:val="single" w:sz="4" w:space="0" w:color="008000"/>
              <w:right w:val="single" w:sz="4" w:space="0" w:color="008000"/>
            </w:tcBorders>
            <w:shd w:val="clear" w:color="auto" w:fill="99CC00"/>
            <w:vAlign w:val="bottom"/>
          </w:tcPr>
          <w:p w:rsidR="00821A55" w:rsidRPr="00597986" w:rsidRDefault="00821A55" w:rsidP="00821A55">
            <w:pPr>
              <w:jc w:val="right"/>
              <w:rPr>
                <w:rFonts w:cs="Arial"/>
                <w:b/>
                <w:sz w:val="20"/>
                <w:szCs w:val="20"/>
              </w:rPr>
            </w:pPr>
            <w:r w:rsidRPr="00597986">
              <w:rPr>
                <w:rFonts w:cs="Arial"/>
                <w:b/>
                <w:sz w:val="20"/>
                <w:szCs w:val="20"/>
              </w:rPr>
              <w:t>13</w:t>
            </w:r>
          </w:p>
        </w:tc>
        <w:tc>
          <w:tcPr>
            <w:tcW w:w="709" w:type="dxa"/>
            <w:tcBorders>
              <w:top w:val="single" w:sz="4" w:space="0" w:color="008000"/>
              <w:left w:val="single" w:sz="4" w:space="0" w:color="008000"/>
              <w:bottom w:val="single" w:sz="4" w:space="0" w:color="008000"/>
              <w:right w:val="single" w:sz="4" w:space="0" w:color="008000"/>
            </w:tcBorders>
            <w:shd w:val="clear" w:color="auto" w:fill="99CC00"/>
            <w:vAlign w:val="bottom"/>
          </w:tcPr>
          <w:p w:rsidR="00821A55" w:rsidRPr="00597986" w:rsidRDefault="00821A55" w:rsidP="00821A55">
            <w:pPr>
              <w:jc w:val="right"/>
              <w:rPr>
                <w:rFonts w:cs="Arial"/>
                <w:b/>
                <w:sz w:val="20"/>
                <w:szCs w:val="20"/>
              </w:rPr>
            </w:pPr>
            <w:r w:rsidRPr="00597986">
              <w:rPr>
                <w:rFonts w:cs="Arial"/>
                <w:b/>
                <w:sz w:val="20"/>
                <w:szCs w:val="20"/>
              </w:rPr>
              <w:t>12</w:t>
            </w:r>
          </w:p>
        </w:tc>
        <w:tc>
          <w:tcPr>
            <w:tcW w:w="709" w:type="dxa"/>
            <w:tcBorders>
              <w:top w:val="single" w:sz="4" w:space="0" w:color="008000"/>
              <w:left w:val="single" w:sz="4" w:space="0" w:color="008000"/>
              <w:bottom w:val="single" w:sz="4" w:space="0" w:color="008000"/>
              <w:right w:val="single" w:sz="4" w:space="0" w:color="008000"/>
            </w:tcBorders>
            <w:shd w:val="clear" w:color="auto" w:fill="99CC00"/>
            <w:vAlign w:val="bottom"/>
          </w:tcPr>
          <w:p w:rsidR="00821A55" w:rsidRPr="00597986" w:rsidRDefault="00821A55" w:rsidP="00821A55">
            <w:pPr>
              <w:jc w:val="right"/>
              <w:rPr>
                <w:rFonts w:cs="Arial"/>
                <w:b/>
                <w:sz w:val="20"/>
                <w:szCs w:val="20"/>
              </w:rPr>
            </w:pPr>
            <w:r w:rsidRPr="00597986">
              <w:rPr>
                <w:rFonts w:cs="Arial"/>
                <w:b/>
                <w:sz w:val="20"/>
                <w:szCs w:val="20"/>
              </w:rPr>
              <w:t>14</w:t>
            </w:r>
          </w:p>
        </w:tc>
        <w:tc>
          <w:tcPr>
            <w:tcW w:w="709" w:type="dxa"/>
            <w:tcBorders>
              <w:top w:val="single" w:sz="4" w:space="0" w:color="008000"/>
              <w:left w:val="single" w:sz="4" w:space="0" w:color="008000"/>
              <w:bottom w:val="single" w:sz="4" w:space="0" w:color="008000"/>
              <w:right w:val="single" w:sz="4" w:space="0" w:color="008000"/>
            </w:tcBorders>
            <w:shd w:val="clear" w:color="auto" w:fill="99CC00"/>
            <w:vAlign w:val="bottom"/>
          </w:tcPr>
          <w:p w:rsidR="00821A55" w:rsidRPr="00597986" w:rsidRDefault="00821A55" w:rsidP="00821A55">
            <w:pPr>
              <w:jc w:val="right"/>
              <w:rPr>
                <w:rFonts w:cs="Arial"/>
                <w:b/>
                <w:sz w:val="20"/>
                <w:szCs w:val="20"/>
              </w:rPr>
            </w:pPr>
            <w:r w:rsidRPr="00597986">
              <w:rPr>
                <w:rFonts w:cs="Arial"/>
                <w:b/>
                <w:sz w:val="20"/>
                <w:szCs w:val="20"/>
              </w:rPr>
              <w:t>16</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Islington</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13</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6</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6</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4</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Stoke-on-Trent</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14</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16</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16</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18</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Leicester</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14</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22</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23</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29</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Blackburn with Darwen</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15</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17</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17</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34</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Waltham Forest</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15</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7</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15</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25</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Rochdale</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16</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23</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25</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25</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Middlesbrough</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16</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27</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25</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19</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Wolverhampton</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17</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21</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28</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35</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Burnley</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17</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21</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31</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46</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Hartlepool</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18</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24</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23</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14</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Stoke-on-Trent</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18</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18</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20</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20</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Bradford</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19</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26</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32</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30</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Wolverhampton</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19</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20</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28</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40</w:t>
            </w:r>
          </w:p>
        </w:tc>
      </w:tr>
      <w:tr w:rsidR="00821A55" w:rsidTr="00E67199">
        <w:trPr>
          <w:trHeight w:hRule="exact" w:val="340"/>
        </w:trPr>
        <w:tc>
          <w:tcPr>
            <w:tcW w:w="2411"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Hastings</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20</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19</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31</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38</w:t>
            </w:r>
          </w:p>
        </w:tc>
        <w:tc>
          <w:tcPr>
            <w:tcW w:w="283" w:type="dxa"/>
            <w:tcBorders>
              <w:top w:val="nil"/>
              <w:left w:val="single" w:sz="4" w:space="0" w:color="008000"/>
              <w:bottom w:val="nil"/>
              <w:right w:val="single" w:sz="4" w:space="0" w:color="008000"/>
            </w:tcBorders>
          </w:tcPr>
          <w:p w:rsidR="00821A55" w:rsidRDefault="00821A55" w:rsidP="00821A55">
            <w:pPr>
              <w:jc w:val="both"/>
            </w:pPr>
          </w:p>
        </w:tc>
        <w:tc>
          <w:tcPr>
            <w:tcW w:w="2410"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rPr>
                <w:rFonts w:cs="Arial"/>
                <w:sz w:val="20"/>
                <w:szCs w:val="20"/>
              </w:rPr>
            </w:pPr>
            <w:r>
              <w:rPr>
                <w:rFonts w:cs="Arial"/>
                <w:sz w:val="20"/>
                <w:szCs w:val="20"/>
              </w:rPr>
              <w:t>Hastings</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20</w:t>
            </w:r>
          </w:p>
        </w:tc>
        <w:tc>
          <w:tcPr>
            <w:tcW w:w="708"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23</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29</w:t>
            </w:r>
          </w:p>
        </w:tc>
        <w:tc>
          <w:tcPr>
            <w:tcW w:w="709" w:type="dxa"/>
            <w:tcBorders>
              <w:top w:val="single" w:sz="4" w:space="0" w:color="008000"/>
              <w:left w:val="single" w:sz="4" w:space="0" w:color="008000"/>
              <w:bottom w:val="single" w:sz="4" w:space="0" w:color="008000"/>
              <w:right w:val="single" w:sz="4" w:space="0" w:color="008000"/>
            </w:tcBorders>
            <w:vAlign w:val="bottom"/>
          </w:tcPr>
          <w:p w:rsidR="00821A55" w:rsidRDefault="00821A55" w:rsidP="00821A55">
            <w:pPr>
              <w:jc w:val="right"/>
              <w:rPr>
                <w:rFonts w:cs="Arial"/>
                <w:sz w:val="20"/>
                <w:szCs w:val="20"/>
              </w:rPr>
            </w:pPr>
            <w:r>
              <w:rPr>
                <w:rFonts w:cs="Arial"/>
                <w:sz w:val="20"/>
                <w:szCs w:val="20"/>
              </w:rPr>
              <w:t>39</w:t>
            </w:r>
          </w:p>
        </w:tc>
      </w:tr>
      <w:tr w:rsidR="00821A55" w:rsidTr="00821A55">
        <w:tc>
          <w:tcPr>
            <w:tcW w:w="5246" w:type="dxa"/>
            <w:gridSpan w:val="5"/>
            <w:tcBorders>
              <w:top w:val="single" w:sz="4" w:space="0" w:color="008000"/>
              <w:left w:val="nil"/>
              <w:bottom w:val="nil"/>
              <w:right w:val="nil"/>
            </w:tcBorders>
            <w:vAlign w:val="center"/>
          </w:tcPr>
          <w:p w:rsidR="00821A55" w:rsidRDefault="00E67199" w:rsidP="00821A55">
            <w:r>
              <w:rPr>
                <w:rStyle w:val="FigureCaption"/>
              </w:rPr>
              <w:br/>
            </w:r>
            <w:r w:rsidR="00821A55">
              <w:rPr>
                <w:rStyle w:val="FigureCaption"/>
              </w:rPr>
              <w:t>T</w:t>
            </w:r>
            <w:r w:rsidR="00821A55" w:rsidRPr="009B0B67">
              <w:rPr>
                <w:rStyle w:val="FigureCaption"/>
              </w:rPr>
              <w:t>able 1. T</w:t>
            </w:r>
            <w:r w:rsidR="00821A55">
              <w:rPr>
                <w:rStyle w:val="FigureCaption"/>
              </w:rPr>
              <w:t xml:space="preserve">wenty most deprived English local authorities by rank of </w:t>
            </w:r>
            <w:r w:rsidR="00821A55" w:rsidRPr="009B0B67">
              <w:rPr>
                <w:rStyle w:val="FigureCaption"/>
              </w:rPr>
              <w:t>average score</w:t>
            </w:r>
            <w:r w:rsidR="00821A55">
              <w:rPr>
                <w:rStyle w:val="FigureCaption"/>
              </w:rPr>
              <w:t xml:space="preserve"> (DCLG, 2015).</w:t>
            </w:r>
          </w:p>
        </w:tc>
        <w:tc>
          <w:tcPr>
            <w:tcW w:w="283" w:type="dxa"/>
            <w:tcBorders>
              <w:top w:val="nil"/>
              <w:left w:val="nil"/>
              <w:bottom w:val="nil"/>
              <w:right w:val="nil"/>
            </w:tcBorders>
          </w:tcPr>
          <w:p w:rsidR="00821A55" w:rsidRDefault="00821A55" w:rsidP="005738D6">
            <w:pPr>
              <w:jc w:val="both"/>
            </w:pPr>
          </w:p>
        </w:tc>
        <w:tc>
          <w:tcPr>
            <w:tcW w:w="5245" w:type="dxa"/>
            <w:gridSpan w:val="5"/>
            <w:tcBorders>
              <w:top w:val="single" w:sz="4" w:space="0" w:color="008000"/>
              <w:left w:val="nil"/>
              <w:bottom w:val="nil"/>
              <w:right w:val="nil"/>
            </w:tcBorders>
            <w:vAlign w:val="center"/>
          </w:tcPr>
          <w:p w:rsidR="00821A55" w:rsidRDefault="00E67199" w:rsidP="00821A55">
            <w:r>
              <w:rPr>
                <w:rStyle w:val="FigureCaption"/>
              </w:rPr>
              <w:br/>
            </w:r>
            <w:r w:rsidR="00821A55" w:rsidRPr="009B0B67">
              <w:rPr>
                <w:rStyle w:val="FigureCaption"/>
              </w:rPr>
              <w:t>Table 2. Twenty most deprived English local</w:t>
            </w:r>
            <w:r w:rsidR="00821A55">
              <w:rPr>
                <w:rStyle w:val="FigureCaption"/>
              </w:rPr>
              <w:t xml:space="preserve"> authorities by rank of average rank (DCLG, 2015).</w:t>
            </w:r>
          </w:p>
        </w:tc>
      </w:tr>
    </w:tbl>
    <w:p w:rsidR="00022756" w:rsidRPr="009B0B67" w:rsidRDefault="00022756" w:rsidP="00022756">
      <w:pPr>
        <w:rPr>
          <w:rStyle w:val="FigureCaption"/>
        </w:rPr>
      </w:pPr>
      <w:r w:rsidRPr="009B0B67">
        <w:rPr>
          <w:rStyle w:val="FigureCaption"/>
        </w:rPr>
        <w:t xml:space="preserve">  </w:t>
      </w:r>
    </w:p>
    <w:p w:rsidR="00342DE8" w:rsidRPr="00A00107" w:rsidRDefault="00E67199" w:rsidP="008F0B5A">
      <w:pPr>
        <w:jc w:val="both"/>
      </w:pPr>
      <w:r w:rsidRPr="003B0CCB">
        <w:t xml:space="preserve">Sandwell’s </w:t>
      </w:r>
      <w:r w:rsidR="00597986">
        <w:t xml:space="preserve">rank of </w:t>
      </w:r>
      <w:r w:rsidRPr="003B0CCB">
        <w:t xml:space="preserve">average deprivation score has </w:t>
      </w:r>
      <w:r>
        <w:t>improved</w:t>
      </w:r>
      <w:r w:rsidRPr="003B0CCB">
        <w:t xml:space="preserve"> since 20</w:t>
      </w:r>
      <w:r>
        <w:t>1</w:t>
      </w:r>
      <w:r w:rsidRPr="003B0CCB">
        <w:t xml:space="preserve">0, </w:t>
      </w:r>
      <w:r>
        <w:t>falling</w:t>
      </w:r>
      <w:r w:rsidRPr="003B0CCB">
        <w:t xml:space="preserve"> </w:t>
      </w:r>
      <w:r>
        <w:t>one</w:t>
      </w:r>
      <w:r w:rsidRPr="003B0CCB">
        <w:t xml:space="preserve"> place to become the 1</w:t>
      </w:r>
      <w:r>
        <w:t>3</w:t>
      </w:r>
      <w:r w:rsidRPr="003B0CCB">
        <w:t>th most deprived local authority out of a total of 3</w:t>
      </w:r>
      <w:r>
        <w:t>26 (where 1 is the most deprived)</w:t>
      </w:r>
      <w:r w:rsidRPr="003B0CCB">
        <w:t xml:space="preserve">. </w:t>
      </w:r>
      <w:r>
        <w:t xml:space="preserve"> </w:t>
      </w:r>
      <w:r w:rsidR="00342DE8" w:rsidRPr="00A00107">
        <w:t>Sandwell’s neighbour</w:t>
      </w:r>
      <w:r>
        <w:t>s</w:t>
      </w:r>
      <w:r w:rsidR="00342DE8" w:rsidRPr="00A00107">
        <w:t xml:space="preserve"> </w:t>
      </w:r>
      <w:smartTag w:uri="urn:schemas-microsoft-com:office:smarttags" w:element="place">
        <w:smartTag w:uri="urn:schemas-microsoft-com:office:smarttags" w:element="City">
          <w:r w:rsidR="00342DE8" w:rsidRPr="00A00107">
            <w:t>Birmingham</w:t>
          </w:r>
        </w:smartTag>
      </w:smartTag>
      <w:r w:rsidR="00342DE8" w:rsidRPr="00A00107">
        <w:t xml:space="preserve"> </w:t>
      </w:r>
      <w:r>
        <w:t>and Wolverhampton are</w:t>
      </w:r>
      <w:r w:rsidR="00342DE8" w:rsidRPr="00A00107">
        <w:t xml:space="preserve"> also </w:t>
      </w:r>
      <w:r w:rsidR="008F0B5A">
        <w:t>among</w:t>
      </w:r>
      <w:r w:rsidR="00342DE8" w:rsidRPr="00A00107">
        <w:t xml:space="preserve"> the </w:t>
      </w:r>
      <w:r w:rsidR="008F0B5A">
        <w:t xml:space="preserve">20 </w:t>
      </w:r>
      <w:r w:rsidR="00342DE8" w:rsidRPr="00A00107">
        <w:t>most deprived Local Authorities by average score</w:t>
      </w:r>
      <w:r w:rsidR="006425FF" w:rsidRPr="00A00107">
        <w:t xml:space="preserve"> (ranked </w:t>
      </w:r>
      <w:r>
        <w:t>7</w:t>
      </w:r>
      <w:r w:rsidR="006425FF" w:rsidRPr="00E67199">
        <w:rPr>
          <w:vertAlign w:val="superscript"/>
        </w:rPr>
        <w:t>th</w:t>
      </w:r>
      <w:r>
        <w:t xml:space="preserve"> and 17</w:t>
      </w:r>
      <w:r w:rsidRPr="00E67199">
        <w:rPr>
          <w:vertAlign w:val="superscript"/>
        </w:rPr>
        <w:t>th</w:t>
      </w:r>
      <w:r>
        <w:t xml:space="preserve"> respectively</w:t>
      </w:r>
      <w:r w:rsidR="006425FF" w:rsidRPr="00A00107">
        <w:t>)</w:t>
      </w:r>
      <w:r w:rsidR="00342DE8" w:rsidRPr="00A00107">
        <w:t xml:space="preserve">.  </w:t>
      </w:r>
    </w:p>
    <w:p w:rsidR="00E67199" w:rsidRDefault="00E67199" w:rsidP="00E67199">
      <w:r w:rsidRPr="003B0CCB">
        <w:t>When deprivation is judged by average rank</w:t>
      </w:r>
      <w:r>
        <w:t>,</w:t>
      </w:r>
      <w:r w:rsidRPr="003B0CCB">
        <w:t xml:space="preserve"> Sandwell is ranked </w:t>
      </w:r>
      <w:r>
        <w:t>12</w:t>
      </w:r>
      <w:r w:rsidRPr="003B0CCB">
        <w:t>th most deprived</w:t>
      </w:r>
      <w:r>
        <w:t xml:space="preserve">, a fall of three places since 2010. Again, Birmingham and Wolverhampton also feature in this table.  </w:t>
      </w:r>
    </w:p>
    <w:p w:rsidR="00E67199" w:rsidRDefault="00E67199" w:rsidP="00E67199">
      <w:r>
        <w:t>However, this improvement in Sandwell’s ranking on these scores does not necessarily mean that deprivation in the borough has improved – only that it has improved relative to other areas.</w:t>
      </w:r>
      <w:r w:rsidR="00930788">
        <w:br/>
      </w:r>
    </w:p>
    <w:p w:rsidR="00E67199" w:rsidRDefault="00E67199">
      <w:pPr>
        <w:spacing w:after="0"/>
        <w:rPr>
          <w:b/>
          <w:i/>
          <w:sz w:val="28"/>
          <w:szCs w:val="28"/>
        </w:rPr>
      </w:pPr>
      <w:r>
        <w:rPr>
          <w:b/>
          <w:i/>
          <w:sz w:val="28"/>
          <w:szCs w:val="28"/>
        </w:rPr>
        <w:br w:type="page"/>
      </w:r>
    </w:p>
    <w:p w:rsidR="00342DE8" w:rsidRPr="00E67199" w:rsidRDefault="00342DE8" w:rsidP="00E67199">
      <w:pPr>
        <w:rPr>
          <w:b/>
          <w:i/>
          <w:sz w:val="28"/>
          <w:szCs w:val="28"/>
        </w:rPr>
      </w:pPr>
      <w:r w:rsidRPr="00E67199">
        <w:rPr>
          <w:b/>
          <w:i/>
          <w:sz w:val="28"/>
          <w:szCs w:val="28"/>
        </w:rPr>
        <w:lastRenderedPageBreak/>
        <w:t>Sandwell in the West Midlands Conurbation</w:t>
      </w:r>
    </w:p>
    <w:tbl>
      <w:tblPr>
        <w:tblW w:w="10227" w:type="dxa"/>
        <w:tblInd w:w="108" w:type="dxa"/>
        <w:tblBorders>
          <w:top w:val="single" w:sz="12" w:space="0" w:color="008000"/>
          <w:left w:val="single" w:sz="12" w:space="0" w:color="008000"/>
          <w:bottom w:val="single" w:sz="12" w:space="0" w:color="008000"/>
          <w:right w:val="single" w:sz="12" w:space="0" w:color="008000"/>
          <w:insideH w:val="single" w:sz="2" w:space="0" w:color="008000"/>
          <w:insideV w:val="single" w:sz="2" w:space="0" w:color="008000"/>
        </w:tblBorders>
        <w:tblLook w:val="0000" w:firstRow="0" w:lastRow="0" w:firstColumn="0" w:lastColumn="0" w:noHBand="0" w:noVBand="0"/>
      </w:tblPr>
      <w:tblGrid>
        <w:gridCol w:w="1800"/>
        <w:gridCol w:w="1080"/>
        <w:gridCol w:w="1080"/>
        <w:gridCol w:w="900"/>
        <w:gridCol w:w="1620"/>
        <w:gridCol w:w="1227"/>
        <w:gridCol w:w="1080"/>
        <w:gridCol w:w="1440"/>
      </w:tblGrid>
      <w:tr w:rsidR="00E67199" w:rsidTr="00E67199">
        <w:trPr>
          <w:trHeight w:val="1688"/>
        </w:trPr>
        <w:tc>
          <w:tcPr>
            <w:tcW w:w="1800" w:type="dxa"/>
            <w:tcBorders>
              <w:top w:val="single" w:sz="12" w:space="0" w:color="008000"/>
              <w:bottom w:val="single" w:sz="12" w:space="0" w:color="008000"/>
              <w:right w:val="single" w:sz="2" w:space="0" w:color="FFFFFF"/>
            </w:tcBorders>
            <w:shd w:val="clear" w:color="auto" w:fill="008000"/>
            <w:noWrap/>
            <w:vAlign w:val="bottom"/>
          </w:tcPr>
          <w:p w:rsidR="00E67199" w:rsidRPr="001227C8" w:rsidRDefault="00E67199" w:rsidP="009144BC">
            <w:pPr>
              <w:jc w:val="center"/>
              <w:rPr>
                <w:rFonts w:cs="Arial"/>
                <w:b/>
                <w:color w:val="FFFFFF"/>
                <w:sz w:val="20"/>
                <w:szCs w:val="20"/>
              </w:rPr>
            </w:pPr>
            <w:r w:rsidRPr="001227C8">
              <w:rPr>
                <w:rFonts w:cs="Arial"/>
                <w:b/>
                <w:color w:val="FFFFFF"/>
                <w:sz w:val="20"/>
                <w:szCs w:val="20"/>
              </w:rPr>
              <w:t>Local Authority</w:t>
            </w:r>
          </w:p>
        </w:tc>
        <w:tc>
          <w:tcPr>
            <w:tcW w:w="1080" w:type="dxa"/>
            <w:tcBorders>
              <w:top w:val="single" w:sz="12" w:space="0" w:color="008000"/>
              <w:left w:val="single" w:sz="2" w:space="0" w:color="FFFFFF"/>
              <w:bottom w:val="single" w:sz="12" w:space="0" w:color="008000"/>
              <w:right w:val="single" w:sz="2" w:space="0" w:color="FFFFFF"/>
            </w:tcBorders>
            <w:shd w:val="clear" w:color="auto" w:fill="008000"/>
            <w:vAlign w:val="bottom"/>
          </w:tcPr>
          <w:p w:rsidR="00E67199" w:rsidRPr="006538A9" w:rsidRDefault="00E67199" w:rsidP="009144BC">
            <w:pPr>
              <w:jc w:val="center"/>
              <w:rPr>
                <w:rFonts w:cs="Arial"/>
                <w:b/>
                <w:bCs/>
                <w:color w:val="FFFFFF"/>
                <w:sz w:val="20"/>
                <w:szCs w:val="20"/>
              </w:rPr>
            </w:pPr>
            <w:r w:rsidRPr="006538A9">
              <w:rPr>
                <w:rFonts w:cs="Arial"/>
                <w:b/>
                <w:bCs/>
                <w:color w:val="FFFFFF"/>
                <w:sz w:val="20"/>
                <w:szCs w:val="20"/>
              </w:rPr>
              <w:t>Rank of Average Score</w:t>
            </w:r>
          </w:p>
        </w:tc>
        <w:tc>
          <w:tcPr>
            <w:tcW w:w="1080" w:type="dxa"/>
            <w:tcBorders>
              <w:top w:val="single" w:sz="12" w:space="0" w:color="008000"/>
              <w:left w:val="single" w:sz="2" w:space="0" w:color="FFFFFF"/>
              <w:bottom w:val="single" w:sz="12" w:space="0" w:color="008000"/>
              <w:right w:val="single" w:sz="2" w:space="0" w:color="FFFFFF"/>
            </w:tcBorders>
            <w:shd w:val="clear" w:color="auto" w:fill="008000"/>
            <w:vAlign w:val="bottom"/>
          </w:tcPr>
          <w:p w:rsidR="00E67199" w:rsidRPr="006538A9" w:rsidRDefault="00E67199" w:rsidP="009144BC">
            <w:pPr>
              <w:jc w:val="center"/>
              <w:rPr>
                <w:rFonts w:cs="Arial"/>
                <w:b/>
                <w:bCs/>
                <w:color w:val="FFFFFF"/>
                <w:sz w:val="20"/>
                <w:szCs w:val="20"/>
              </w:rPr>
            </w:pPr>
            <w:r w:rsidRPr="006538A9">
              <w:rPr>
                <w:rFonts w:cs="Arial"/>
                <w:b/>
                <w:bCs/>
                <w:color w:val="FFFFFF"/>
                <w:sz w:val="20"/>
                <w:szCs w:val="20"/>
              </w:rPr>
              <w:t>Rank of Average Rank</w:t>
            </w:r>
          </w:p>
        </w:tc>
        <w:tc>
          <w:tcPr>
            <w:tcW w:w="900" w:type="dxa"/>
            <w:tcBorders>
              <w:top w:val="single" w:sz="12" w:space="0" w:color="008000"/>
              <w:left w:val="single" w:sz="2" w:space="0" w:color="FFFFFF"/>
              <w:bottom w:val="single" w:sz="12" w:space="0" w:color="008000"/>
              <w:right w:val="single" w:sz="2" w:space="0" w:color="FFFFFF"/>
            </w:tcBorders>
            <w:shd w:val="clear" w:color="auto" w:fill="008000"/>
            <w:vAlign w:val="bottom"/>
          </w:tcPr>
          <w:p w:rsidR="00E67199" w:rsidRPr="006538A9" w:rsidRDefault="00E67199" w:rsidP="009144BC">
            <w:pPr>
              <w:jc w:val="center"/>
              <w:rPr>
                <w:rFonts w:cs="Arial"/>
                <w:b/>
                <w:bCs/>
                <w:color w:val="FFFFFF"/>
                <w:sz w:val="20"/>
                <w:szCs w:val="20"/>
              </w:rPr>
            </w:pPr>
            <w:r w:rsidRPr="006538A9">
              <w:rPr>
                <w:rFonts w:cs="Arial"/>
                <w:b/>
                <w:bCs/>
                <w:color w:val="FFFFFF"/>
                <w:sz w:val="20"/>
                <w:szCs w:val="20"/>
              </w:rPr>
              <w:t>Rank of Extent</w:t>
            </w:r>
          </w:p>
        </w:tc>
        <w:tc>
          <w:tcPr>
            <w:tcW w:w="1620" w:type="dxa"/>
            <w:tcBorders>
              <w:top w:val="single" w:sz="12" w:space="0" w:color="008000"/>
              <w:left w:val="single" w:sz="2" w:space="0" w:color="FFFFFF"/>
              <w:bottom w:val="single" w:sz="12" w:space="0" w:color="008000"/>
              <w:right w:val="single" w:sz="2" w:space="0" w:color="FFFFFF"/>
            </w:tcBorders>
            <w:shd w:val="clear" w:color="auto" w:fill="008000"/>
            <w:vAlign w:val="bottom"/>
          </w:tcPr>
          <w:p w:rsidR="00E67199" w:rsidRPr="006538A9" w:rsidRDefault="00E67199" w:rsidP="009144BC">
            <w:pPr>
              <w:jc w:val="center"/>
              <w:rPr>
                <w:rFonts w:cs="Arial"/>
                <w:b/>
                <w:bCs/>
                <w:color w:val="FFFFFF"/>
                <w:sz w:val="20"/>
                <w:szCs w:val="20"/>
              </w:rPr>
            </w:pPr>
            <w:r w:rsidRPr="006538A9">
              <w:rPr>
                <w:rFonts w:cs="Arial"/>
                <w:b/>
                <w:bCs/>
                <w:color w:val="FFFFFF"/>
                <w:sz w:val="20"/>
                <w:szCs w:val="20"/>
              </w:rPr>
              <w:t>Rank of Local Concentration</w:t>
            </w:r>
          </w:p>
        </w:tc>
        <w:tc>
          <w:tcPr>
            <w:tcW w:w="1227" w:type="dxa"/>
            <w:tcBorders>
              <w:top w:val="single" w:sz="12" w:space="0" w:color="008000"/>
              <w:left w:val="single" w:sz="2" w:space="0" w:color="FFFFFF"/>
              <w:bottom w:val="single" w:sz="12" w:space="0" w:color="008000"/>
              <w:right w:val="single" w:sz="2" w:space="0" w:color="FFFFFF"/>
            </w:tcBorders>
            <w:shd w:val="clear" w:color="auto" w:fill="008000"/>
          </w:tcPr>
          <w:p w:rsidR="00E67199" w:rsidRPr="006538A9" w:rsidRDefault="00E67199" w:rsidP="009144BC">
            <w:pPr>
              <w:jc w:val="center"/>
              <w:rPr>
                <w:rFonts w:cs="Arial"/>
                <w:b/>
                <w:bCs/>
                <w:color w:val="FFFFFF"/>
                <w:sz w:val="20"/>
                <w:szCs w:val="20"/>
              </w:rPr>
            </w:pPr>
            <w:r w:rsidRPr="00E67199">
              <w:rPr>
                <w:rFonts w:cs="Arial"/>
                <w:b/>
                <w:bCs/>
                <w:color w:val="FFFFFF" w:themeColor="background1"/>
                <w:sz w:val="20"/>
                <w:szCs w:val="20"/>
              </w:rPr>
              <w:t>Rank of proportion of LSOAs in most deprived 10% nationally</w:t>
            </w:r>
          </w:p>
        </w:tc>
        <w:tc>
          <w:tcPr>
            <w:tcW w:w="1080" w:type="dxa"/>
            <w:tcBorders>
              <w:top w:val="single" w:sz="12" w:space="0" w:color="008000"/>
              <w:left w:val="single" w:sz="2" w:space="0" w:color="FFFFFF"/>
              <w:bottom w:val="single" w:sz="12" w:space="0" w:color="008000"/>
              <w:right w:val="single" w:sz="2" w:space="0" w:color="FFFFFF"/>
            </w:tcBorders>
            <w:shd w:val="clear" w:color="auto" w:fill="008000"/>
            <w:vAlign w:val="bottom"/>
          </w:tcPr>
          <w:p w:rsidR="00E67199" w:rsidRPr="006538A9" w:rsidRDefault="00E67199" w:rsidP="009144BC">
            <w:pPr>
              <w:jc w:val="center"/>
              <w:rPr>
                <w:rFonts w:cs="Arial"/>
                <w:b/>
                <w:bCs/>
                <w:color w:val="FFFFFF"/>
                <w:sz w:val="20"/>
                <w:szCs w:val="20"/>
              </w:rPr>
            </w:pPr>
            <w:r w:rsidRPr="006538A9">
              <w:rPr>
                <w:rFonts w:cs="Arial"/>
                <w:b/>
                <w:bCs/>
                <w:color w:val="FFFFFF"/>
                <w:sz w:val="20"/>
                <w:szCs w:val="20"/>
              </w:rPr>
              <w:t>Rank of Income Scale</w:t>
            </w:r>
          </w:p>
        </w:tc>
        <w:tc>
          <w:tcPr>
            <w:tcW w:w="1440" w:type="dxa"/>
            <w:tcBorders>
              <w:top w:val="single" w:sz="12" w:space="0" w:color="008000"/>
              <w:left w:val="single" w:sz="2" w:space="0" w:color="FFFFFF"/>
              <w:bottom w:val="single" w:sz="12" w:space="0" w:color="008000"/>
            </w:tcBorders>
            <w:shd w:val="clear" w:color="auto" w:fill="008000"/>
            <w:vAlign w:val="bottom"/>
          </w:tcPr>
          <w:p w:rsidR="00E67199" w:rsidRPr="006538A9" w:rsidRDefault="00E67199" w:rsidP="009144BC">
            <w:pPr>
              <w:jc w:val="center"/>
              <w:rPr>
                <w:rFonts w:cs="Arial"/>
                <w:b/>
                <w:bCs/>
                <w:color w:val="FFFFFF"/>
                <w:sz w:val="20"/>
                <w:szCs w:val="20"/>
              </w:rPr>
            </w:pPr>
            <w:r w:rsidRPr="006538A9">
              <w:rPr>
                <w:rFonts w:cs="Arial"/>
                <w:b/>
                <w:bCs/>
                <w:color w:val="FFFFFF"/>
                <w:sz w:val="20"/>
                <w:szCs w:val="20"/>
              </w:rPr>
              <w:t>Rank of Employment Scale</w:t>
            </w:r>
          </w:p>
        </w:tc>
      </w:tr>
      <w:tr w:rsidR="00E67199" w:rsidTr="00BC792A">
        <w:trPr>
          <w:trHeight w:hRule="exact" w:val="284"/>
        </w:trPr>
        <w:tc>
          <w:tcPr>
            <w:tcW w:w="1800" w:type="dxa"/>
            <w:tcBorders>
              <w:top w:val="single" w:sz="12" w:space="0" w:color="008000"/>
            </w:tcBorders>
            <w:shd w:val="clear" w:color="auto" w:fill="auto"/>
            <w:noWrap/>
            <w:vAlign w:val="bottom"/>
          </w:tcPr>
          <w:p w:rsidR="00E67199" w:rsidRDefault="00E67199" w:rsidP="009144BC">
            <w:pPr>
              <w:jc w:val="both"/>
              <w:rPr>
                <w:rFonts w:cs="Arial"/>
                <w:sz w:val="20"/>
                <w:szCs w:val="20"/>
              </w:rPr>
            </w:pPr>
            <w:r>
              <w:rPr>
                <w:rFonts w:cs="Arial"/>
                <w:sz w:val="20"/>
                <w:szCs w:val="20"/>
              </w:rPr>
              <w:t>Birmingham</w:t>
            </w:r>
          </w:p>
        </w:tc>
        <w:tc>
          <w:tcPr>
            <w:tcW w:w="1080" w:type="dxa"/>
            <w:tcBorders>
              <w:top w:val="single" w:sz="1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7</w:t>
            </w:r>
          </w:p>
        </w:tc>
        <w:tc>
          <w:tcPr>
            <w:tcW w:w="1080" w:type="dxa"/>
            <w:tcBorders>
              <w:top w:val="single" w:sz="1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11</w:t>
            </w:r>
          </w:p>
        </w:tc>
        <w:tc>
          <w:tcPr>
            <w:tcW w:w="900" w:type="dxa"/>
            <w:tcBorders>
              <w:top w:val="single" w:sz="1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6</w:t>
            </w:r>
          </w:p>
        </w:tc>
        <w:tc>
          <w:tcPr>
            <w:tcW w:w="1620" w:type="dxa"/>
            <w:tcBorders>
              <w:top w:val="single" w:sz="1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21</w:t>
            </w:r>
          </w:p>
        </w:tc>
        <w:tc>
          <w:tcPr>
            <w:tcW w:w="1227" w:type="dxa"/>
            <w:tcBorders>
              <w:top w:val="single" w:sz="12" w:space="0" w:color="008000"/>
            </w:tcBorders>
            <w:vAlign w:val="bottom"/>
          </w:tcPr>
          <w:p w:rsidR="00E67199" w:rsidRPr="00E67199" w:rsidRDefault="00E67199" w:rsidP="00007C32">
            <w:pPr>
              <w:jc w:val="right"/>
              <w:rPr>
                <w:rFonts w:cs="Arial"/>
                <w:sz w:val="20"/>
                <w:szCs w:val="20"/>
              </w:rPr>
            </w:pPr>
            <w:r w:rsidRPr="00E67199">
              <w:rPr>
                <w:rFonts w:cs="Arial"/>
                <w:sz w:val="20"/>
                <w:szCs w:val="20"/>
              </w:rPr>
              <w:t>6</w:t>
            </w:r>
          </w:p>
        </w:tc>
        <w:tc>
          <w:tcPr>
            <w:tcW w:w="1080" w:type="dxa"/>
            <w:tcBorders>
              <w:top w:val="single" w:sz="1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1</w:t>
            </w:r>
          </w:p>
        </w:tc>
        <w:tc>
          <w:tcPr>
            <w:tcW w:w="1440" w:type="dxa"/>
            <w:tcBorders>
              <w:top w:val="single" w:sz="1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1</w:t>
            </w:r>
          </w:p>
        </w:tc>
      </w:tr>
      <w:tr w:rsidR="00E67199" w:rsidTr="00BC792A">
        <w:trPr>
          <w:trHeight w:hRule="exact" w:val="284"/>
        </w:trPr>
        <w:tc>
          <w:tcPr>
            <w:tcW w:w="1800" w:type="dxa"/>
            <w:shd w:val="clear" w:color="auto" w:fill="auto"/>
            <w:noWrap/>
            <w:vAlign w:val="bottom"/>
          </w:tcPr>
          <w:p w:rsidR="00E67199" w:rsidRDefault="00E67199" w:rsidP="009144BC">
            <w:pPr>
              <w:jc w:val="both"/>
              <w:rPr>
                <w:rFonts w:cs="Arial"/>
                <w:sz w:val="20"/>
                <w:szCs w:val="20"/>
              </w:rPr>
            </w:pPr>
            <w:r>
              <w:rPr>
                <w:rFonts w:cs="Arial"/>
                <w:sz w:val="20"/>
                <w:szCs w:val="20"/>
              </w:rPr>
              <w:t>Coventry</w:t>
            </w:r>
          </w:p>
        </w:tc>
        <w:tc>
          <w:tcPr>
            <w:tcW w:w="108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54</w:t>
            </w:r>
          </w:p>
        </w:tc>
        <w:tc>
          <w:tcPr>
            <w:tcW w:w="108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60</w:t>
            </w:r>
          </w:p>
        </w:tc>
        <w:tc>
          <w:tcPr>
            <w:tcW w:w="90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55</w:t>
            </w:r>
          </w:p>
        </w:tc>
        <w:tc>
          <w:tcPr>
            <w:tcW w:w="162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38</w:t>
            </w:r>
          </w:p>
        </w:tc>
        <w:tc>
          <w:tcPr>
            <w:tcW w:w="1227" w:type="dxa"/>
            <w:vAlign w:val="bottom"/>
          </w:tcPr>
          <w:p w:rsidR="00E67199" w:rsidRPr="00E67199" w:rsidRDefault="00E67199" w:rsidP="00007C32">
            <w:pPr>
              <w:jc w:val="right"/>
              <w:rPr>
                <w:rFonts w:cs="Arial"/>
                <w:sz w:val="20"/>
                <w:szCs w:val="20"/>
              </w:rPr>
            </w:pPr>
            <w:r w:rsidRPr="00E67199">
              <w:rPr>
                <w:rFonts w:cs="Arial"/>
                <w:sz w:val="20"/>
                <w:szCs w:val="20"/>
              </w:rPr>
              <w:t>46</w:t>
            </w:r>
          </w:p>
        </w:tc>
        <w:tc>
          <w:tcPr>
            <w:tcW w:w="108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25</w:t>
            </w:r>
          </w:p>
        </w:tc>
        <w:tc>
          <w:tcPr>
            <w:tcW w:w="144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25</w:t>
            </w:r>
          </w:p>
        </w:tc>
      </w:tr>
      <w:tr w:rsidR="00E67199" w:rsidTr="00BC792A">
        <w:trPr>
          <w:trHeight w:hRule="exact" w:val="284"/>
        </w:trPr>
        <w:tc>
          <w:tcPr>
            <w:tcW w:w="1800" w:type="dxa"/>
            <w:tcBorders>
              <w:bottom w:val="single" w:sz="2" w:space="0" w:color="008000"/>
            </w:tcBorders>
            <w:shd w:val="clear" w:color="auto" w:fill="auto"/>
            <w:noWrap/>
            <w:vAlign w:val="bottom"/>
          </w:tcPr>
          <w:p w:rsidR="00E67199" w:rsidRDefault="00E67199" w:rsidP="009144BC">
            <w:pPr>
              <w:jc w:val="both"/>
              <w:rPr>
                <w:rFonts w:cs="Arial"/>
                <w:sz w:val="20"/>
                <w:szCs w:val="20"/>
              </w:rPr>
            </w:pPr>
            <w:r>
              <w:rPr>
                <w:rFonts w:cs="Arial"/>
                <w:sz w:val="20"/>
                <w:szCs w:val="20"/>
              </w:rPr>
              <w:t>Dudley</w:t>
            </w:r>
          </w:p>
        </w:tc>
        <w:tc>
          <w:tcPr>
            <w:tcW w:w="1080" w:type="dxa"/>
            <w:tcBorders>
              <w:bottom w:val="single" w:sz="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110</w:t>
            </w:r>
          </w:p>
        </w:tc>
        <w:tc>
          <w:tcPr>
            <w:tcW w:w="1080" w:type="dxa"/>
            <w:tcBorders>
              <w:bottom w:val="single" w:sz="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118</w:t>
            </w:r>
          </w:p>
        </w:tc>
        <w:tc>
          <w:tcPr>
            <w:tcW w:w="900" w:type="dxa"/>
            <w:tcBorders>
              <w:bottom w:val="single" w:sz="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90</w:t>
            </w:r>
          </w:p>
        </w:tc>
        <w:tc>
          <w:tcPr>
            <w:tcW w:w="1620" w:type="dxa"/>
            <w:tcBorders>
              <w:bottom w:val="single" w:sz="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93</w:t>
            </w:r>
          </w:p>
        </w:tc>
        <w:tc>
          <w:tcPr>
            <w:tcW w:w="1227" w:type="dxa"/>
            <w:tcBorders>
              <w:bottom w:val="single" w:sz="2" w:space="0" w:color="008000"/>
            </w:tcBorders>
            <w:vAlign w:val="bottom"/>
          </w:tcPr>
          <w:p w:rsidR="00E67199" w:rsidRPr="00E67199" w:rsidRDefault="00E67199" w:rsidP="00007C32">
            <w:pPr>
              <w:jc w:val="right"/>
              <w:rPr>
                <w:rFonts w:cs="Arial"/>
                <w:sz w:val="20"/>
                <w:szCs w:val="20"/>
              </w:rPr>
            </w:pPr>
            <w:r w:rsidRPr="00E67199">
              <w:rPr>
                <w:rFonts w:cs="Arial"/>
                <w:sz w:val="20"/>
                <w:szCs w:val="20"/>
              </w:rPr>
              <w:t>101</w:t>
            </w:r>
          </w:p>
        </w:tc>
        <w:tc>
          <w:tcPr>
            <w:tcW w:w="1080" w:type="dxa"/>
            <w:tcBorders>
              <w:bottom w:val="single" w:sz="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34</w:t>
            </w:r>
          </w:p>
        </w:tc>
        <w:tc>
          <w:tcPr>
            <w:tcW w:w="1440" w:type="dxa"/>
            <w:tcBorders>
              <w:bottom w:val="single" w:sz="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33</w:t>
            </w:r>
          </w:p>
        </w:tc>
      </w:tr>
      <w:tr w:rsidR="00E67199" w:rsidTr="00BC792A">
        <w:trPr>
          <w:trHeight w:hRule="exact" w:val="284"/>
        </w:trPr>
        <w:tc>
          <w:tcPr>
            <w:tcW w:w="1800" w:type="dxa"/>
            <w:tcBorders>
              <w:top w:val="single" w:sz="2" w:space="0" w:color="008000"/>
              <w:bottom w:val="single" w:sz="2" w:space="0" w:color="008000"/>
            </w:tcBorders>
            <w:shd w:val="clear" w:color="auto" w:fill="99CC00"/>
            <w:noWrap/>
            <w:vAlign w:val="bottom"/>
          </w:tcPr>
          <w:p w:rsidR="00E67199" w:rsidRPr="00DB661D" w:rsidRDefault="00E67199" w:rsidP="009144BC">
            <w:pPr>
              <w:jc w:val="both"/>
              <w:rPr>
                <w:rFonts w:cs="Arial"/>
                <w:b/>
                <w:sz w:val="20"/>
                <w:szCs w:val="20"/>
              </w:rPr>
            </w:pPr>
            <w:r w:rsidRPr="00DB661D">
              <w:rPr>
                <w:rFonts w:cs="Arial"/>
                <w:b/>
                <w:sz w:val="20"/>
                <w:szCs w:val="20"/>
              </w:rPr>
              <w:t>Sandwell</w:t>
            </w:r>
          </w:p>
        </w:tc>
        <w:tc>
          <w:tcPr>
            <w:tcW w:w="1080" w:type="dxa"/>
            <w:tcBorders>
              <w:top w:val="single" w:sz="2" w:space="0" w:color="008000"/>
              <w:bottom w:val="single" w:sz="2" w:space="0" w:color="008000"/>
            </w:tcBorders>
            <w:shd w:val="clear" w:color="auto" w:fill="99CC00"/>
            <w:noWrap/>
            <w:vAlign w:val="bottom"/>
          </w:tcPr>
          <w:p w:rsidR="00E67199" w:rsidRPr="00E67199" w:rsidRDefault="00E67199" w:rsidP="00007C32">
            <w:pPr>
              <w:jc w:val="right"/>
              <w:rPr>
                <w:rFonts w:cs="Arial"/>
                <w:b/>
                <w:sz w:val="20"/>
                <w:szCs w:val="20"/>
              </w:rPr>
            </w:pPr>
            <w:r w:rsidRPr="00E67199">
              <w:rPr>
                <w:rFonts w:cs="Arial"/>
                <w:b/>
                <w:sz w:val="20"/>
                <w:szCs w:val="20"/>
              </w:rPr>
              <w:t>13</w:t>
            </w:r>
          </w:p>
        </w:tc>
        <w:tc>
          <w:tcPr>
            <w:tcW w:w="1080" w:type="dxa"/>
            <w:tcBorders>
              <w:top w:val="single" w:sz="2" w:space="0" w:color="008000"/>
              <w:bottom w:val="single" w:sz="2" w:space="0" w:color="008000"/>
            </w:tcBorders>
            <w:shd w:val="clear" w:color="auto" w:fill="99CC00"/>
            <w:noWrap/>
            <w:vAlign w:val="bottom"/>
          </w:tcPr>
          <w:p w:rsidR="00E67199" w:rsidRPr="00E67199" w:rsidRDefault="00E67199" w:rsidP="00007C32">
            <w:pPr>
              <w:jc w:val="right"/>
              <w:rPr>
                <w:rFonts w:cs="Arial"/>
                <w:b/>
                <w:sz w:val="20"/>
                <w:szCs w:val="20"/>
              </w:rPr>
            </w:pPr>
            <w:r w:rsidRPr="00E67199">
              <w:rPr>
                <w:rFonts w:cs="Arial"/>
                <w:b/>
                <w:sz w:val="20"/>
                <w:szCs w:val="20"/>
              </w:rPr>
              <w:t>12</w:t>
            </w:r>
          </w:p>
        </w:tc>
        <w:tc>
          <w:tcPr>
            <w:tcW w:w="900" w:type="dxa"/>
            <w:tcBorders>
              <w:top w:val="single" w:sz="2" w:space="0" w:color="008000"/>
              <w:bottom w:val="single" w:sz="2" w:space="0" w:color="008000"/>
            </w:tcBorders>
            <w:shd w:val="clear" w:color="auto" w:fill="99CC00"/>
            <w:noWrap/>
            <w:vAlign w:val="bottom"/>
          </w:tcPr>
          <w:p w:rsidR="00E67199" w:rsidRPr="00E67199" w:rsidRDefault="00E67199" w:rsidP="00007C32">
            <w:pPr>
              <w:jc w:val="right"/>
              <w:rPr>
                <w:rFonts w:cs="Arial"/>
                <w:b/>
                <w:sz w:val="20"/>
                <w:szCs w:val="20"/>
              </w:rPr>
            </w:pPr>
            <w:r w:rsidRPr="00E67199">
              <w:rPr>
                <w:rFonts w:cs="Arial"/>
                <w:b/>
                <w:sz w:val="20"/>
                <w:szCs w:val="20"/>
              </w:rPr>
              <w:t>10</w:t>
            </w:r>
          </w:p>
        </w:tc>
        <w:tc>
          <w:tcPr>
            <w:tcW w:w="1620" w:type="dxa"/>
            <w:tcBorders>
              <w:top w:val="single" w:sz="2" w:space="0" w:color="008000"/>
              <w:bottom w:val="single" w:sz="2" w:space="0" w:color="008000"/>
            </w:tcBorders>
            <w:shd w:val="clear" w:color="auto" w:fill="99CC00"/>
            <w:noWrap/>
            <w:vAlign w:val="bottom"/>
          </w:tcPr>
          <w:p w:rsidR="00E67199" w:rsidRPr="00E67199" w:rsidRDefault="00E67199" w:rsidP="00007C32">
            <w:pPr>
              <w:jc w:val="right"/>
              <w:rPr>
                <w:rFonts w:cs="Arial"/>
                <w:b/>
                <w:sz w:val="20"/>
                <w:szCs w:val="20"/>
              </w:rPr>
            </w:pPr>
            <w:r w:rsidRPr="00E67199">
              <w:rPr>
                <w:rFonts w:cs="Arial"/>
                <w:b/>
                <w:sz w:val="20"/>
                <w:szCs w:val="20"/>
              </w:rPr>
              <w:t>55</w:t>
            </w:r>
          </w:p>
        </w:tc>
        <w:tc>
          <w:tcPr>
            <w:tcW w:w="1227" w:type="dxa"/>
            <w:tcBorders>
              <w:top w:val="single" w:sz="2" w:space="0" w:color="008000"/>
              <w:bottom w:val="single" w:sz="2" w:space="0" w:color="008000"/>
            </w:tcBorders>
            <w:shd w:val="clear" w:color="auto" w:fill="99CC00"/>
            <w:vAlign w:val="bottom"/>
          </w:tcPr>
          <w:p w:rsidR="00E67199" w:rsidRPr="00E67199" w:rsidRDefault="00E67199" w:rsidP="00007C32">
            <w:pPr>
              <w:jc w:val="right"/>
              <w:rPr>
                <w:rFonts w:cs="Arial"/>
                <w:b/>
                <w:sz w:val="20"/>
                <w:szCs w:val="20"/>
              </w:rPr>
            </w:pPr>
            <w:r w:rsidRPr="00E67199">
              <w:rPr>
                <w:rFonts w:cs="Arial"/>
                <w:b/>
                <w:sz w:val="20"/>
                <w:szCs w:val="20"/>
              </w:rPr>
              <w:t>28</w:t>
            </w:r>
          </w:p>
        </w:tc>
        <w:tc>
          <w:tcPr>
            <w:tcW w:w="1080" w:type="dxa"/>
            <w:tcBorders>
              <w:top w:val="single" w:sz="2" w:space="0" w:color="008000"/>
              <w:bottom w:val="single" w:sz="2" w:space="0" w:color="008000"/>
            </w:tcBorders>
            <w:shd w:val="clear" w:color="auto" w:fill="99CC00"/>
            <w:noWrap/>
            <w:vAlign w:val="bottom"/>
          </w:tcPr>
          <w:p w:rsidR="00E67199" w:rsidRPr="00E67199" w:rsidRDefault="00E67199" w:rsidP="00007C32">
            <w:pPr>
              <w:jc w:val="right"/>
              <w:rPr>
                <w:rFonts w:cs="Arial"/>
                <w:b/>
                <w:sz w:val="20"/>
                <w:szCs w:val="20"/>
              </w:rPr>
            </w:pPr>
            <w:r w:rsidRPr="00E67199">
              <w:rPr>
                <w:rFonts w:cs="Arial"/>
                <w:b/>
                <w:sz w:val="20"/>
                <w:szCs w:val="20"/>
              </w:rPr>
              <w:t>9</w:t>
            </w:r>
          </w:p>
        </w:tc>
        <w:tc>
          <w:tcPr>
            <w:tcW w:w="1440" w:type="dxa"/>
            <w:tcBorders>
              <w:top w:val="single" w:sz="2" w:space="0" w:color="008000"/>
              <w:bottom w:val="single" w:sz="2" w:space="0" w:color="008000"/>
            </w:tcBorders>
            <w:shd w:val="clear" w:color="auto" w:fill="99CC00"/>
            <w:noWrap/>
            <w:vAlign w:val="bottom"/>
          </w:tcPr>
          <w:p w:rsidR="00E67199" w:rsidRPr="00E67199" w:rsidRDefault="00E67199" w:rsidP="00007C32">
            <w:pPr>
              <w:jc w:val="right"/>
              <w:rPr>
                <w:rFonts w:cs="Arial"/>
                <w:b/>
                <w:sz w:val="20"/>
                <w:szCs w:val="20"/>
              </w:rPr>
            </w:pPr>
            <w:r w:rsidRPr="00E67199">
              <w:rPr>
                <w:rFonts w:cs="Arial"/>
                <w:b/>
                <w:sz w:val="20"/>
                <w:szCs w:val="20"/>
              </w:rPr>
              <w:t>12</w:t>
            </w:r>
          </w:p>
        </w:tc>
      </w:tr>
      <w:tr w:rsidR="00E67199" w:rsidTr="00BC792A">
        <w:trPr>
          <w:trHeight w:hRule="exact" w:val="284"/>
        </w:trPr>
        <w:tc>
          <w:tcPr>
            <w:tcW w:w="1800" w:type="dxa"/>
            <w:tcBorders>
              <w:top w:val="single" w:sz="2" w:space="0" w:color="008000"/>
            </w:tcBorders>
            <w:shd w:val="clear" w:color="auto" w:fill="auto"/>
            <w:noWrap/>
            <w:vAlign w:val="bottom"/>
          </w:tcPr>
          <w:p w:rsidR="00E67199" w:rsidRDefault="00E67199" w:rsidP="009144BC">
            <w:pPr>
              <w:jc w:val="both"/>
              <w:rPr>
                <w:rFonts w:cs="Arial"/>
                <w:sz w:val="20"/>
                <w:szCs w:val="20"/>
              </w:rPr>
            </w:pPr>
            <w:r>
              <w:rPr>
                <w:rFonts w:cs="Arial"/>
                <w:sz w:val="20"/>
                <w:szCs w:val="20"/>
              </w:rPr>
              <w:t>Solihull</w:t>
            </w:r>
          </w:p>
        </w:tc>
        <w:tc>
          <w:tcPr>
            <w:tcW w:w="1080" w:type="dxa"/>
            <w:tcBorders>
              <w:top w:val="single" w:sz="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178</w:t>
            </w:r>
          </w:p>
        </w:tc>
        <w:tc>
          <w:tcPr>
            <w:tcW w:w="1080" w:type="dxa"/>
            <w:tcBorders>
              <w:top w:val="single" w:sz="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216</w:t>
            </w:r>
          </w:p>
        </w:tc>
        <w:tc>
          <w:tcPr>
            <w:tcW w:w="900" w:type="dxa"/>
            <w:tcBorders>
              <w:top w:val="single" w:sz="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124</w:t>
            </w:r>
          </w:p>
        </w:tc>
        <w:tc>
          <w:tcPr>
            <w:tcW w:w="1620" w:type="dxa"/>
            <w:tcBorders>
              <w:top w:val="single" w:sz="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66</w:t>
            </w:r>
          </w:p>
        </w:tc>
        <w:tc>
          <w:tcPr>
            <w:tcW w:w="1227" w:type="dxa"/>
            <w:tcBorders>
              <w:top w:val="single" w:sz="2" w:space="0" w:color="008000"/>
            </w:tcBorders>
            <w:vAlign w:val="bottom"/>
          </w:tcPr>
          <w:p w:rsidR="00E67199" w:rsidRPr="00E67199" w:rsidRDefault="00E67199" w:rsidP="00007C32">
            <w:pPr>
              <w:jc w:val="right"/>
              <w:rPr>
                <w:rFonts w:cs="Arial"/>
                <w:sz w:val="20"/>
                <w:szCs w:val="20"/>
              </w:rPr>
            </w:pPr>
            <w:r w:rsidRPr="00E67199">
              <w:rPr>
                <w:rFonts w:cs="Arial"/>
                <w:sz w:val="20"/>
                <w:szCs w:val="20"/>
              </w:rPr>
              <w:t>77</w:t>
            </w:r>
          </w:p>
        </w:tc>
        <w:tc>
          <w:tcPr>
            <w:tcW w:w="1080" w:type="dxa"/>
            <w:tcBorders>
              <w:top w:val="single" w:sz="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100</w:t>
            </w:r>
          </w:p>
        </w:tc>
        <w:tc>
          <w:tcPr>
            <w:tcW w:w="1440" w:type="dxa"/>
            <w:tcBorders>
              <w:top w:val="single" w:sz="2" w:space="0" w:color="008000"/>
            </w:tcBorders>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102</w:t>
            </w:r>
          </w:p>
        </w:tc>
      </w:tr>
      <w:tr w:rsidR="00E67199" w:rsidTr="00BC792A">
        <w:trPr>
          <w:trHeight w:hRule="exact" w:val="284"/>
        </w:trPr>
        <w:tc>
          <w:tcPr>
            <w:tcW w:w="1800" w:type="dxa"/>
            <w:shd w:val="clear" w:color="auto" w:fill="auto"/>
            <w:noWrap/>
            <w:vAlign w:val="bottom"/>
          </w:tcPr>
          <w:p w:rsidR="00E67199" w:rsidRDefault="00E67199" w:rsidP="009144BC">
            <w:pPr>
              <w:jc w:val="both"/>
              <w:rPr>
                <w:rFonts w:cs="Arial"/>
                <w:sz w:val="20"/>
                <w:szCs w:val="20"/>
              </w:rPr>
            </w:pPr>
            <w:r>
              <w:rPr>
                <w:rFonts w:cs="Arial"/>
                <w:sz w:val="20"/>
                <w:szCs w:val="20"/>
              </w:rPr>
              <w:t>Walsall</w:t>
            </w:r>
          </w:p>
        </w:tc>
        <w:tc>
          <w:tcPr>
            <w:tcW w:w="108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33</w:t>
            </w:r>
          </w:p>
        </w:tc>
        <w:tc>
          <w:tcPr>
            <w:tcW w:w="108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41</w:t>
            </w:r>
          </w:p>
        </w:tc>
        <w:tc>
          <w:tcPr>
            <w:tcW w:w="90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20</w:t>
            </w:r>
          </w:p>
        </w:tc>
        <w:tc>
          <w:tcPr>
            <w:tcW w:w="162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59</w:t>
            </w:r>
          </w:p>
        </w:tc>
        <w:tc>
          <w:tcPr>
            <w:tcW w:w="1227" w:type="dxa"/>
            <w:vAlign w:val="bottom"/>
          </w:tcPr>
          <w:p w:rsidR="00E67199" w:rsidRPr="00E67199" w:rsidRDefault="00E67199" w:rsidP="00007C32">
            <w:pPr>
              <w:jc w:val="right"/>
              <w:rPr>
                <w:rFonts w:cs="Arial"/>
                <w:sz w:val="20"/>
                <w:szCs w:val="20"/>
              </w:rPr>
            </w:pPr>
            <w:r w:rsidRPr="00E67199">
              <w:rPr>
                <w:rFonts w:cs="Arial"/>
                <w:sz w:val="20"/>
                <w:szCs w:val="20"/>
              </w:rPr>
              <w:t>39</w:t>
            </w:r>
          </w:p>
        </w:tc>
        <w:tc>
          <w:tcPr>
            <w:tcW w:w="108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21</w:t>
            </w:r>
          </w:p>
        </w:tc>
        <w:tc>
          <w:tcPr>
            <w:tcW w:w="144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27</w:t>
            </w:r>
          </w:p>
        </w:tc>
      </w:tr>
      <w:tr w:rsidR="00E67199" w:rsidTr="00BC792A">
        <w:trPr>
          <w:trHeight w:hRule="exact" w:val="284"/>
        </w:trPr>
        <w:tc>
          <w:tcPr>
            <w:tcW w:w="1800" w:type="dxa"/>
            <w:shd w:val="clear" w:color="auto" w:fill="auto"/>
            <w:noWrap/>
            <w:vAlign w:val="bottom"/>
          </w:tcPr>
          <w:p w:rsidR="00E67199" w:rsidRDefault="00E67199" w:rsidP="009144BC">
            <w:pPr>
              <w:jc w:val="both"/>
              <w:rPr>
                <w:rFonts w:cs="Arial"/>
                <w:sz w:val="20"/>
                <w:szCs w:val="20"/>
              </w:rPr>
            </w:pPr>
            <w:r>
              <w:rPr>
                <w:rFonts w:cs="Arial"/>
                <w:sz w:val="20"/>
                <w:szCs w:val="20"/>
              </w:rPr>
              <w:t>Wolverhampton</w:t>
            </w:r>
          </w:p>
        </w:tc>
        <w:tc>
          <w:tcPr>
            <w:tcW w:w="108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17</w:t>
            </w:r>
          </w:p>
        </w:tc>
        <w:tc>
          <w:tcPr>
            <w:tcW w:w="108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19</w:t>
            </w:r>
          </w:p>
        </w:tc>
        <w:tc>
          <w:tcPr>
            <w:tcW w:w="90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14</w:t>
            </w:r>
          </w:p>
        </w:tc>
        <w:tc>
          <w:tcPr>
            <w:tcW w:w="162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47</w:t>
            </w:r>
          </w:p>
        </w:tc>
        <w:tc>
          <w:tcPr>
            <w:tcW w:w="1227" w:type="dxa"/>
            <w:vAlign w:val="bottom"/>
          </w:tcPr>
          <w:p w:rsidR="00E67199" w:rsidRPr="00E67199" w:rsidRDefault="00E67199" w:rsidP="00007C32">
            <w:pPr>
              <w:jc w:val="right"/>
              <w:rPr>
                <w:rFonts w:cs="Arial"/>
                <w:sz w:val="20"/>
                <w:szCs w:val="20"/>
              </w:rPr>
            </w:pPr>
            <w:r w:rsidRPr="00E67199">
              <w:rPr>
                <w:rFonts w:cs="Arial"/>
                <w:sz w:val="20"/>
                <w:szCs w:val="20"/>
              </w:rPr>
              <w:t>21</w:t>
            </w:r>
          </w:p>
        </w:tc>
        <w:tc>
          <w:tcPr>
            <w:tcW w:w="108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20</w:t>
            </w:r>
          </w:p>
        </w:tc>
        <w:tc>
          <w:tcPr>
            <w:tcW w:w="1440" w:type="dxa"/>
            <w:shd w:val="clear" w:color="auto" w:fill="auto"/>
            <w:noWrap/>
            <w:vAlign w:val="bottom"/>
          </w:tcPr>
          <w:p w:rsidR="00E67199" w:rsidRPr="00E67199" w:rsidRDefault="00E67199" w:rsidP="00007C32">
            <w:pPr>
              <w:jc w:val="right"/>
              <w:rPr>
                <w:rFonts w:cs="Arial"/>
                <w:sz w:val="20"/>
                <w:szCs w:val="20"/>
              </w:rPr>
            </w:pPr>
            <w:r w:rsidRPr="00E67199">
              <w:rPr>
                <w:rFonts w:cs="Arial"/>
                <w:sz w:val="20"/>
                <w:szCs w:val="20"/>
              </w:rPr>
              <w:t>20</w:t>
            </w:r>
          </w:p>
        </w:tc>
      </w:tr>
    </w:tbl>
    <w:p w:rsidR="00022756" w:rsidRPr="009B0B67" w:rsidRDefault="0008627A" w:rsidP="00022756">
      <w:pPr>
        <w:rPr>
          <w:rStyle w:val="FigureCaption"/>
        </w:rPr>
      </w:pPr>
      <w:r>
        <w:rPr>
          <w:rStyle w:val="FigureCaption"/>
        </w:rPr>
        <w:br/>
      </w:r>
      <w:r w:rsidR="00022756" w:rsidRPr="009B0B67">
        <w:rPr>
          <w:rStyle w:val="FigureCaption"/>
        </w:rPr>
        <w:t>Table 3. Sandwell and the West Midlands Conurbation, local authority summaries.</w:t>
      </w:r>
      <w:r w:rsidR="005F639A">
        <w:rPr>
          <w:rStyle w:val="FigureCaption"/>
        </w:rPr>
        <w:t xml:space="preserve"> (DCLG, </w:t>
      </w:r>
      <w:r w:rsidR="00C3442A">
        <w:rPr>
          <w:rStyle w:val="FigureCaption"/>
        </w:rPr>
        <w:t>20</w:t>
      </w:r>
      <w:r w:rsidR="006054C0">
        <w:rPr>
          <w:rStyle w:val="FigureCaption"/>
        </w:rPr>
        <w:t>1</w:t>
      </w:r>
      <w:r w:rsidR="00E67199">
        <w:rPr>
          <w:rStyle w:val="FigureCaption"/>
        </w:rPr>
        <w:t>5</w:t>
      </w:r>
      <w:r w:rsidR="00C3442A">
        <w:rPr>
          <w:rStyle w:val="FigureCaption"/>
        </w:rPr>
        <w:t>)</w:t>
      </w:r>
    </w:p>
    <w:p w:rsidR="0036054C" w:rsidRDefault="0036054C" w:rsidP="00E67199">
      <w:pPr>
        <w:pStyle w:val="Default"/>
        <w:jc w:val="both"/>
      </w:pPr>
    </w:p>
    <w:p w:rsidR="00E67199" w:rsidRDefault="00E67199" w:rsidP="00E67199">
      <w:pPr>
        <w:pStyle w:val="Default"/>
        <w:jc w:val="both"/>
      </w:pPr>
      <w:r>
        <w:t xml:space="preserve">Whilst Sandwell’s overall </w:t>
      </w:r>
      <w:r w:rsidRPr="009D6279">
        <w:t xml:space="preserve">ranks of average score and rank have seen an improvement, the rank of income and employment scales have worsened (from 12 and 15 in 2010, respectively). These measures identify districts with large numbers of people experiencing deprivation – so Sandwell </w:t>
      </w:r>
      <w:r>
        <w:t>has</w:t>
      </w:r>
      <w:r w:rsidRPr="009D6279">
        <w:t xml:space="preserve"> a relatively high volume of people experiencing income and employment deprivation. </w:t>
      </w:r>
    </w:p>
    <w:p w:rsidR="00E67199" w:rsidRDefault="00E67199" w:rsidP="00E67199">
      <w:pPr>
        <w:pStyle w:val="Default"/>
        <w:jc w:val="both"/>
      </w:pPr>
    </w:p>
    <w:p w:rsidR="00E67199" w:rsidRDefault="00E67199" w:rsidP="00E67199">
      <w:pPr>
        <w:jc w:val="both"/>
      </w:pPr>
      <w:r>
        <w:t>Sandwell’s rank of local concentration is lower than the other deprivation measures – this shows that deprivation in Sandwell is not concentrated in pockets, but more widespread across the borough than in other areas.</w:t>
      </w:r>
    </w:p>
    <w:p w:rsidR="004178AB" w:rsidRDefault="004178AB" w:rsidP="009B0B67">
      <w:pPr>
        <w:pStyle w:val="Heading2"/>
      </w:pPr>
    </w:p>
    <w:p w:rsidR="002F4D0D" w:rsidRPr="00A00107" w:rsidRDefault="002F4D0D" w:rsidP="009B0B67">
      <w:pPr>
        <w:pStyle w:val="Heading2"/>
      </w:pPr>
      <w:r w:rsidRPr="00A00107">
        <w:t>Sandwell in a National Context</w:t>
      </w:r>
    </w:p>
    <w:p w:rsidR="00E50CEB" w:rsidRDefault="00351928" w:rsidP="00DF460B">
      <w:pPr>
        <w:jc w:val="both"/>
      </w:pPr>
      <w:r w:rsidRPr="00DB661D">
        <w:rPr>
          <w:rFonts w:cs="Arial"/>
        </w:rPr>
        <w:t>England is made up of 32,</w:t>
      </w:r>
      <w:r>
        <w:rPr>
          <w:rFonts w:cs="Arial"/>
        </w:rPr>
        <w:t>844</w:t>
      </w:r>
      <w:r w:rsidRPr="00DB661D">
        <w:rPr>
          <w:rFonts w:cs="Arial"/>
        </w:rPr>
        <w:t xml:space="preserve"> </w:t>
      </w:r>
      <w:r>
        <w:rPr>
          <w:rFonts w:cs="Arial"/>
        </w:rPr>
        <w:t>Lower Super Output Areas (</w:t>
      </w:r>
      <w:r w:rsidRPr="00DB661D">
        <w:rPr>
          <w:rFonts w:cs="Arial"/>
        </w:rPr>
        <w:t>LSOAs</w:t>
      </w:r>
      <w:r>
        <w:rPr>
          <w:rFonts w:cs="Arial"/>
        </w:rPr>
        <w:t>)</w:t>
      </w:r>
      <w:r w:rsidRPr="00DB661D">
        <w:rPr>
          <w:rFonts w:cs="Arial"/>
        </w:rPr>
        <w:t>, 18</w:t>
      </w:r>
      <w:r>
        <w:rPr>
          <w:rFonts w:cs="Arial"/>
        </w:rPr>
        <w:t>6</w:t>
      </w:r>
      <w:r w:rsidRPr="00DB661D">
        <w:rPr>
          <w:rFonts w:cs="Arial"/>
        </w:rPr>
        <w:t xml:space="preserve"> of </w:t>
      </w:r>
      <w:r>
        <w:rPr>
          <w:rFonts w:cs="Arial"/>
        </w:rPr>
        <w:t xml:space="preserve">which are </w:t>
      </w:r>
      <w:r w:rsidRPr="00DB661D">
        <w:rPr>
          <w:rFonts w:cs="Arial"/>
        </w:rPr>
        <w:t>in Sandwell.</w:t>
      </w:r>
      <w:r>
        <w:rPr>
          <w:rFonts w:cs="Arial"/>
        </w:rPr>
        <w:t xml:space="preserve"> </w:t>
      </w:r>
      <w:r w:rsidRPr="00DB661D">
        <w:rPr>
          <w:rFonts w:cs="Arial"/>
        </w:rPr>
        <w:t xml:space="preserve"> </w:t>
      </w:r>
      <w:r w:rsidR="00385637">
        <w:t>By ranking the LSOAs on each of the domains of deprivation, e</w:t>
      </w:r>
      <w:r w:rsidR="00E50CEB" w:rsidRPr="00A00107">
        <w:t xml:space="preserve">ach Sandwell LSOA has been positioned on the national </w:t>
      </w:r>
      <w:r w:rsidR="002F4D0D" w:rsidRPr="00A00107">
        <w:t>deciles</w:t>
      </w:r>
      <w:r w:rsidR="00E50CEB" w:rsidRPr="00A00107">
        <w:t xml:space="preserve"> framework (where 1 = 10% most deprived LSOAs in </w:t>
      </w:r>
      <w:smartTag w:uri="urn:schemas-microsoft-com:office:smarttags" w:element="country-region">
        <w:smartTag w:uri="urn:schemas-microsoft-com:office:smarttags" w:element="Street">
          <w:r w:rsidR="00E50CEB" w:rsidRPr="00A00107">
            <w:t>England</w:t>
          </w:r>
        </w:smartTag>
      </w:smartTag>
      <w:r w:rsidR="00E50CEB" w:rsidRPr="00A00107">
        <w:t xml:space="preserve"> and 10 = 10% least deprived LSOAs in </w:t>
      </w:r>
      <w:smartTag w:uri="urn:schemas-microsoft-com:office:smarttags" w:element="place">
        <w:smartTag w:uri="urn:schemas-microsoft-com:office:smarttags" w:element="country-region">
          <w:smartTag w:uri="urn:schemas-microsoft-com:office:smarttags" w:element="Street">
            <w:r w:rsidR="00E50CEB" w:rsidRPr="00A00107">
              <w:t>England</w:t>
            </w:r>
          </w:smartTag>
        </w:smartTag>
      </w:smartTag>
      <w:r w:rsidR="00E50CEB" w:rsidRPr="00A00107">
        <w:t xml:space="preserve">). </w:t>
      </w:r>
      <w:r w:rsidR="0008627A">
        <w:t xml:space="preserve"> This </w:t>
      </w:r>
      <w:r w:rsidR="004178AB">
        <w:t>shows</w:t>
      </w:r>
      <w:r w:rsidR="0008627A">
        <w:t xml:space="preserve"> </w:t>
      </w:r>
      <w:r w:rsidR="00E50CEB" w:rsidRPr="00A00107">
        <w:t>how Sandwell fits into the national picture.</w:t>
      </w:r>
    </w:p>
    <w:p w:rsidR="00757A13" w:rsidRDefault="004178AB" w:rsidP="004178AB">
      <w:r>
        <w:t>T</w:t>
      </w:r>
      <w:r w:rsidRPr="00A00107">
        <w:t>able</w:t>
      </w:r>
      <w:r>
        <w:t xml:space="preserve"> 4</w:t>
      </w:r>
      <w:r w:rsidRPr="00A00107">
        <w:t xml:space="preserve"> </w:t>
      </w:r>
      <w:r w:rsidR="00757A13">
        <w:t xml:space="preserve">overleaf </w:t>
      </w:r>
      <w:r w:rsidRPr="00A00107">
        <w:t xml:space="preserve">shows percentages of Sandwell LSOAs in each of the deciles for all domains. </w:t>
      </w:r>
    </w:p>
    <w:p w:rsidR="00757A13" w:rsidRDefault="00757A13" w:rsidP="004178AB">
      <w:r w:rsidRPr="00A00107">
        <w:t>Clearly many of Sandwell’s LSOAs are in the mo</w:t>
      </w:r>
      <w:r>
        <w:t>st</w:t>
      </w:r>
      <w:r w:rsidRPr="00A00107">
        <w:t xml:space="preserve"> deprived national deciles</w:t>
      </w:r>
      <w:r>
        <w:t xml:space="preserve"> and </w:t>
      </w:r>
      <w:r w:rsidRPr="00A00107">
        <w:t>there are few cases when the borough</w:t>
      </w:r>
      <w:r>
        <w:t>’</w:t>
      </w:r>
      <w:r w:rsidRPr="00A00107">
        <w:t>s LSOAs are in the least deprived deciles.</w:t>
      </w:r>
      <w:r>
        <w:t xml:space="preserve"> </w:t>
      </w:r>
      <w:r w:rsidRPr="00A00107">
        <w:t xml:space="preserve"> In the </w:t>
      </w:r>
      <w:r w:rsidRPr="005F639A">
        <w:rPr>
          <w:i/>
        </w:rPr>
        <w:t>income</w:t>
      </w:r>
      <w:r w:rsidRPr="00A00107">
        <w:t xml:space="preserve">, </w:t>
      </w:r>
      <w:r w:rsidRPr="005F639A">
        <w:rPr>
          <w:i/>
        </w:rPr>
        <w:t>employment</w:t>
      </w:r>
      <w:r w:rsidRPr="00A00107">
        <w:t xml:space="preserve"> </w:t>
      </w:r>
      <w:r w:rsidRPr="00BC792A">
        <w:t>and</w:t>
      </w:r>
      <w:r>
        <w:rPr>
          <w:i/>
        </w:rPr>
        <w:t xml:space="preserve"> </w:t>
      </w:r>
      <w:r w:rsidRPr="005F639A">
        <w:rPr>
          <w:i/>
        </w:rPr>
        <w:t>education</w:t>
      </w:r>
      <w:r w:rsidRPr="00A00107">
        <w:t xml:space="preserve"> domains over half of Sandwell’s LSOAs belong in the 20% most deprived nationally.</w:t>
      </w:r>
      <w:r>
        <w:t xml:space="preserve"> </w:t>
      </w:r>
      <w:r w:rsidRPr="00A00107">
        <w:t xml:space="preserve"> </w:t>
      </w:r>
      <w:r>
        <w:t xml:space="preserve">Only the </w:t>
      </w:r>
      <w:r w:rsidRPr="00EB5A70">
        <w:rPr>
          <w:i/>
        </w:rPr>
        <w:t xml:space="preserve">housing </w:t>
      </w:r>
      <w:r>
        <w:t xml:space="preserve">and </w:t>
      </w:r>
      <w:r w:rsidRPr="00EB5A70">
        <w:rPr>
          <w:i/>
        </w:rPr>
        <w:t>crime</w:t>
      </w:r>
      <w:r>
        <w:t xml:space="preserve"> domains show low proportions of LSOAs in the worst 20%.</w:t>
      </w:r>
    </w:p>
    <w:p w:rsidR="00757A13" w:rsidRDefault="00757A13" w:rsidP="00757A13">
      <w:r>
        <w:br w:type="page"/>
      </w:r>
    </w:p>
    <w:tbl>
      <w:tblPr>
        <w:tblW w:w="10206" w:type="dxa"/>
        <w:tblInd w:w="57" w:type="dxa"/>
        <w:tblLayout w:type="fixed"/>
        <w:tblLook w:val="0000" w:firstRow="0" w:lastRow="0" w:firstColumn="0" w:lastColumn="0" w:noHBand="0" w:noVBand="0"/>
      </w:tblPr>
      <w:tblGrid>
        <w:gridCol w:w="1276"/>
        <w:gridCol w:w="709"/>
        <w:gridCol w:w="850"/>
        <w:gridCol w:w="1276"/>
        <w:gridCol w:w="1134"/>
        <w:gridCol w:w="695"/>
        <w:gridCol w:w="900"/>
        <w:gridCol w:w="815"/>
        <w:gridCol w:w="1134"/>
        <w:gridCol w:w="709"/>
        <w:gridCol w:w="708"/>
      </w:tblGrid>
      <w:tr w:rsidR="00351928" w:rsidRPr="00E1673B" w:rsidTr="00BC792A">
        <w:trPr>
          <w:trHeight w:val="525"/>
        </w:trPr>
        <w:tc>
          <w:tcPr>
            <w:tcW w:w="1276" w:type="dxa"/>
            <w:tcBorders>
              <w:top w:val="single" w:sz="8" w:space="0" w:color="008000"/>
              <w:left w:val="single" w:sz="8" w:space="0" w:color="008000"/>
              <w:bottom w:val="single" w:sz="8" w:space="0" w:color="008000"/>
              <w:right w:val="single" w:sz="8" w:space="0" w:color="008000"/>
            </w:tcBorders>
            <w:shd w:val="clear" w:color="auto" w:fill="auto"/>
            <w:tcMar>
              <w:left w:w="57" w:type="dxa"/>
              <w:right w:w="85" w:type="dxa"/>
            </w:tcMar>
            <w:vAlign w:val="center"/>
          </w:tcPr>
          <w:p w:rsidR="00351928" w:rsidRPr="009F0F28" w:rsidRDefault="00351928" w:rsidP="00BC792A">
            <w:pPr>
              <w:spacing w:after="0"/>
              <w:jc w:val="center"/>
              <w:rPr>
                <w:rFonts w:cs="Arial"/>
                <w:sz w:val="16"/>
                <w:szCs w:val="16"/>
                <w:lang w:eastAsia="en-GB"/>
              </w:rPr>
            </w:pPr>
            <w:r w:rsidRPr="009F0F28">
              <w:rPr>
                <w:rFonts w:cs="Arial"/>
                <w:sz w:val="16"/>
                <w:szCs w:val="16"/>
                <w:lang w:eastAsia="en-GB"/>
              </w:rPr>
              <w:lastRenderedPageBreak/>
              <w:t xml:space="preserve">National </w:t>
            </w:r>
            <w:r w:rsidR="00BC792A">
              <w:rPr>
                <w:rFonts w:cs="Arial"/>
                <w:sz w:val="16"/>
                <w:szCs w:val="16"/>
                <w:lang w:eastAsia="en-GB"/>
              </w:rPr>
              <w:br/>
            </w:r>
            <w:r w:rsidRPr="009F0F28">
              <w:rPr>
                <w:rFonts w:cs="Arial"/>
                <w:sz w:val="16"/>
                <w:szCs w:val="16"/>
                <w:lang w:eastAsia="en-GB"/>
              </w:rPr>
              <w:t>Decile</w:t>
            </w:r>
          </w:p>
        </w:tc>
        <w:tc>
          <w:tcPr>
            <w:tcW w:w="709" w:type="dxa"/>
            <w:tcBorders>
              <w:top w:val="single" w:sz="8" w:space="0" w:color="008000"/>
              <w:left w:val="nil"/>
              <w:bottom w:val="single" w:sz="8" w:space="0" w:color="008000"/>
              <w:right w:val="single" w:sz="8" w:space="0" w:color="FFFFFF"/>
            </w:tcBorders>
            <w:shd w:val="clear" w:color="auto" w:fill="008000"/>
            <w:tcMar>
              <w:left w:w="57" w:type="dxa"/>
              <w:right w:w="85" w:type="dxa"/>
            </w:tcMar>
            <w:vAlign w:val="center"/>
          </w:tcPr>
          <w:p w:rsidR="00351928" w:rsidRPr="00BC792A" w:rsidRDefault="00351928">
            <w:pPr>
              <w:jc w:val="center"/>
              <w:rPr>
                <w:rFonts w:cs="Arial"/>
                <w:b/>
                <w:bCs/>
                <w:color w:val="FFFFFF"/>
                <w:sz w:val="16"/>
                <w:szCs w:val="16"/>
              </w:rPr>
            </w:pPr>
            <w:r w:rsidRPr="00BC792A">
              <w:rPr>
                <w:rFonts w:cs="Arial"/>
                <w:b/>
                <w:bCs/>
                <w:color w:val="FFFFFF"/>
                <w:sz w:val="16"/>
                <w:szCs w:val="16"/>
              </w:rPr>
              <w:t>IMD</w:t>
            </w:r>
          </w:p>
        </w:tc>
        <w:tc>
          <w:tcPr>
            <w:tcW w:w="850" w:type="dxa"/>
            <w:tcBorders>
              <w:top w:val="single" w:sz="8" w:space="0" w:color="008000"/>
              <w:left w:val="single" w:sz="8" w:space="0" w:color="FFFFFF"/>
              <w:bottom w:val="single" w:sz="8" w:space="0" w:color="008000"/>
              <w:right w:val="single" w:sz="8" w:space="0" w:color="FFFFFF"/>
            </w:tcBorders>
            <w:shd w:val="clear" w:color="auto" w:fill="008000"/>
            <w:tcMar>
              <w:left w:w="57" w:type="dxa"/>
              <w:right w:w="85" w:type="dxa"/>
            </w:tcMar>
            <w:vAlign w:val="center"/>
          </w:tcPr>
          <w:p w:rsidR="00351928" w:rsidRPr="00BC792A" w:rsidRDefault="00351928">
            <w:pPr>
              <w:jc w:val="center"/>
              <w:rPr>
                <w:rFonts w:cs="Arial"/>
                <w:b/>
                <w:bCs/>
                <w:color w:val="FFFFFF"/>
                <w:sz w:val="16"/>
                <w:szCs w:val="16"/>
              </w:rPr>
            </w:pPr>
            <w:r w:rsidRPr="00BC792A">
              <w:rPr>
                <w:rFonts w:cs="Arial"/>
                <w:b/>
                <w:bCs/>
                <w:color w:val="FFFFFF"/>
                <w:sz w:val="16"/>
                <w:szCs w:val="16"/>
              </w:rPr>
              <w:t>Income</w:t>
            </w:r>
          </w:p>
        </w:tc>
        <w:tc>
          <w:tcPr>
            <w:tcW w:w="1276" w:type="dxa"/>
            <w:tcBorders>
              <w:top w:val="single" w:sz="8" w:space="0" w:color="008000"/>
              <w:left w:val="single" w:sz="8" w:space="0" w:color="FFFFFF"/>
              <w:bottom w:val="single" w:sz="8" w:space="0" w:color="008000"/>
              <w:right w:val="single" w:sz="8" w:space="0" w:color="FFFFFF"/>
            </w:tcBorders>
            <w:shd w:val="clear" w:color="auto" w:fill="008000"/>
            <w:tcMar>
              <w:left w:w="57" w:type="dxa"/>
              <w:right w:w="57" w:type="dxa"/>
            </w:tcMar>
            <w:vAlign w:val="center"/>
          </w:tcPr>
          <w:p w:rsidR="00351928" w:rsidRPr="00BC792A" w:rsidRDefault="00351928">
            <w:pPr>
              <w:jc w:val="center"/>
              <w:rPr>
                <w:rFonts w:cs="Arial"/>
                <w:b/>
                <w:bCs/>
                <w:color w:val="FFFFFF"/>
                <w:sz w:val="16"/>
                <w:szCs w:val="16"/>
              </w:rPr>
            </w:pPr>
            <w:r w:rsidRPr="00BC792A">
              <w:rPr>
                <w:rFonts w:cs="Arial"/>
                <w:b/>
                <w:bCs/>
                <w:color w:val="FFFFFF"/>
                <w:sz w:val="16"/>
                <w:szCs w:val="16"/>
              </w:rPr>
              <w:t>Employment</w:t>
            </w:r>
          </w:p>
        </w:tc>
        <w:tc>
          <w:tcPr>
            <w:tcW w:w="1134" w:type="dxa"/>
            <w:tcBorders>
              <w:top w:val="single" w:sz="8" w:space="0" w:color="008000"/>
              <w:left w:val="single" w:sz="8" w:space="0" w:color="FFFFFF"/>
              <w:bottom w:val="single" w:sz="8" w:space="0" w:color="008000"/>
              <w:right w:val="single" w:sz="8" w:space="0" w:color="FFFFFF"/>
            </w:tcBorders>
            <w:shd w:val="clear" w:color="auto" w:fill="008000"/>
            <w:tcMar>
              <w:left w:w="57" w:type="dxa"/>
              <w:right w:w="85" w:type="dxa"/>
            </w:tcMar>
            <w:vAlign w:val="center"/>
          </w:tcPr>
          <w:p w:rsidR="00351928" w:rsidRPr="00BC792A" w:rsidRDefault="00351928" w:rsidP="00351928">
            <w:pPr>
              <w:jc w:val="center"/>
              <w:rPr>
                <w:rFonts w:cs="Arial"/>
                <w:b/>
                <w:bCs/>
                <w:color w:val="FFFFFF"/>
                <w:sz w:val="16"/>
                <w:szCs w:val="16"/>
              </w:rPr>
            </w:pPr>
            <w:r w:rsidRPr="00BC792A">
              <w:rPr>
                <w:rFonts w:cs="Arial"/>
                <w:b/>
                <w:bCs/>
                <w:color w:val="FFFFFF"/>
                <w:sz w:val="16"/>
                <w:szCs w:val="16"/>
              </w:rPr>
              <w:t>Education</w:t>
            </w:r>
          </w:p>
        </w:tc>
        <w:tc>
          <w:tcPr>
            <w:tcW w:w="695" w:type="dxa"/>
            <w:tcBorders>
              <w:top w:val="single" w:sz="8" w:space="0" w:color="008000"/>
              <w:left w:val="single" w:sz="8" w:space="0" w:color="FFFFFF"/>
              <w:bottom w:val="single" w:sz="8" w:space="0" w:color="008000"/>
              <w:right w:val="single" w:sz="8" w:space="0" w:color="FFFFFF"/>
            </w:tcBorders>
            <w:shd w:val="clear" w:color="auto" w:fill="008000"/>
            <w:tcMar>
              <w:left w:w="57" w:type="dxa"/>
              <w:right w:w="57" w:type="dxa"/>
            </w:tcMar>
            <w:vAlign w:val="center"/>
          </w:tcPr>
          <w:p w:rsidR="00351928" w:rsidRPr="00BC792A" w:rsidRDefault="00351928" w:rsidP="00351928">
            <w:pPr>
              <w:jc w:val="center"/>
              <w:rPr>
                <w:rFonts w:cs="Arial"/>
                <w:b/>
                <w:bCs/>
                <w:color w:val="FFFFFF"/>
                <w:sz w:val="16"/>
                <w:szCs w:val="16"/>
              </w:rPr>
            </w:pPr>
            <w:r w:rsidRPr="00BC792A">
              <w:rPr>
                <w:rFonts w:cs="Arial"/>
                <w:b/>
                <w:bCs/>
                <w:color w:val="FFFFFF"/>
                <w:sz w:val="16"/>
                <w:szCs w:val="16"/>
              </w:rPr>
              <w:t>Health</w:t>
            </w:r>
          </w:p>
        </w:tc>
        <w:tc>
          <w:tcPr>
            <w:tcW w:w="900" w:type="dxa"/>
            <w:tcBorders>
              <w:top w:val="single" w:sz="8" w:space="0" w:color="008000"/>
              <w:left w:val="single" w:sz="8" w:space="0" w:color="FFFFFF"/>
              <w:bottom w:val="single" w:sz="8" w:space="0" w:color="008000"/>
              <w:right w:val="single" w:sz="8" w:space="0" w:color="FFFFFF"/>
            </w:tcBorders>
            <w:shd w:val="clear" w:color="auto" w:fill="008000"/>
            <w:tcMar>
              <w:left w:w="57" w:type="dxa"/>
              <w:right w:w="85" w:type="dxa"/>
            </w:tcMar>
            <w:vAlign w:val="center"/>
          </w:tcPr>
          <w:p w:rsidR="00351928" w:rsidRPr="00BC792A" w:rsidRDefault="00351928">
            <w:pPr>
              <w:jc w:val="center"/>
              <w:rPr>
                <w:rFonts w:cs="Arial"/>
                <w:b/>
                <w:bCs/>
                <w:color w:val="FFFFFF"/>
                <w:sz w:val="16"/>
                <w:szCs w:val="16"/>
              </w:rPr>
            </w:pPr>
            <w:r w:rsidRPr="00BC792A">
              <w:rPr>
                <w:rFonts w:cs="Arial"/>
                <w:b/>
                <w:bCs/>
                <w:color w:val="FFFFFF"/>
                <w:sz w:val="16"/>
                <w:szCs w:val="16"/>
              </w:rPr>
              <w:t>Crime</w:t>
            </w:r>
          </w:p>
        </w:tc>
        <w:tc>
          <w:tcPr>
            <w:tcW w:w="815" w:type="dxa"/>
            <w:tcBorders>
              <w:top w:val="single" w:sz="8" w:space="0" w:color="008000"/>
              <w:left w:val="single" w:sz="8" w:space="0" w:color="FFFFFF"/>
              <w:bottom w:val="single" w:sz="8" w:space="0" w:color="008000"/>
              <w:right w:val="single" w:sz="8" w:space="0" w:color="FFFFFF"/>
            </w:tcBorders>
            <w:shd w:val="clear" w:color="auto" w:fill="008000"/>
            <w:tcMar>
              <w:left w:w="57" w:type="dxa"/>
              <w:right w:w="85" w:type="dxa"/>
            </w:tcMar>
            <w:vAlign w:val="center"/>
          </w:tcPr>
          <w:p w:rsidR="00351928" w:rsidRPr="00BC792A" w:rsidRDefault="00351928" w:rsidP="00351928">
            <w:pPr>
              <w:jc w:val="center"/>
              <w:rPr>
                <w:rFonts w:cs="Arial"/>
                <w:b/>
                <w:bCs/>
                <w:color w:val="FFFFFF"/>
                <w:sz w:val="16"/>
                <w:szCs w:val="16"/>
              </w:rPr>
            </w:pPr>
            <w:r w:rsidRPr="00BC792A">
              <w:rPr>
                <w:rFonts w:cs="Arial"/>
                <w:b/>
                <w:bCs/>
                <w:color w:val="FFFFFF"/>
                <w:sz w:val="16"/>
                <w:szCs w:val="16"/>
              </w:rPr>
              <w:t xml:space="preserve">Housing </w:t>
            </w:r>
          </w:p>
        </w:tc>
        <w:tc>
          <w:tcPr>
            <w:tcW w:w="1134" w:type="dxa"/>
            <w:tcBorders>
              <w:top w:val="single" w:sz="8" w:space="0" w:color="008000"/>
              <w:left w:val="single" w:sz="8" w:space="0" w:color="FFFFFF"/>
              <w:bottom w:val="single" w:sz="8" w:space="0" w:color="008000"/>
              <w:right w:val="single" w:sz="8" w:space="0" w:color="FFFFFF"/>
            </w:tcBorders>
            <w:shd w:val="clear" w:color="auto" w:fill="008000"/>
            <w:tcMar>
              <w:left w:w="28" w:type="dxa"/>
              <w:right w:w="28" w:type="dxa"/>
            </w:tcMar>
            <w:vAlign w:val="center"/>
          </w:tcPr>
          <w:p w:rsidR="00351928" w:rsidRPr="00BC792A" w:rsidRDefault="00351928">
            <w:pPr>
              <w:jc w:val="center"/>
              <w:rPr>
                <w:rFonts w:cs="Arial"/>
                <w:b/>
                <w:bCs/>
                <w:color w:val="FFFFFF"/>
                <w:sz w:val="16"/>
                <w:szCs w:val="16"/>
              </w:rPr>
            </w:pPr>
            <w:r w:rsidRPr="00BC792A">
              <w:rPr>
                <w:rFonts w:cs="Arial"/>
                <w:b/>
                <w:bCs/>
                <w:color w:val="FFFFFF"/>
                <w:sz w:val="16"/>
                <w:szCs w:val="16"/>
              </w:rPr>
              <w:t>Environment</w:t>
            </w:r>
          </w:p>
        </w:tc>
        <w:tc>
          <w:tcPr>
            <w:tcW w:w="709" w:type="dxa"/>
            <w:tcBorders>
              <w:top w:val="single" w:sz="8" w:space="0" w:color="008000"/>
              <w:left w:val="single" w:sz="8" w:space="0" w:color="FFFFFF"/>
              <w:bottom w:val="single" w:sz="8" w:space="0" w:color="008000"/>
              <w:right w:val="single" w:sz="8" w:space="0" w:color="FFFFFF"/>
            </w:tcBorders>
            <w:shd w:val="clear" w:color="auto" w:fill="008000"/>
            <w:tcMar>
              <w:left w:w="57" w:type="dxa"/>
              <w:right w:w="85" w:type="dxa"/>
            </w:tcMar>
            <w:vAlign w:val="center"/>
          </w:tcPr>
          <w:p w:rsidR="00351928" w:rsidRPr="00BC792A" w:rsidRDefault="00351928">
            <w:pPr>
              <w:jc w:val="center"/>
              <w:rPr>
                <w:rFonts w:cs="Arial"/>
                <w:b/>
                <w:bCs/>
                <w:color w:val="FFFFFF"/>
                <w:sz w:val="16"/>
                <w:szCs w:val="16"/>
              </w:rPr>
            </w:pPr>
            <w:r w:rsidRPr="00BC792A">
              <w:rPr>
                <w:rFonts w:cs="Arial"/>
                <w:b/>
                <w:bCs/>
                <w:color w:val="FFFFFF"/>
                <w:sz w:val="16"/>
                <w:szCs w:val="16"/>
              </w:rPr>
              <w:t>IDACI</w:t>
            </w:r>
          </w:p>
        </w:tc>
        <w:tc>
          <w:tcPr>
            <w:tcW w:w="708" w:type="dxa"/>
            <w:tcBorders>
              <w:top w:val="single" w:sz="8" w:space="0" w:color="008000"/>
              <w:left w:val="single" w:sz="8" w:space="0" w:color="FFFFFF"/>
              <w:bottom w:val="single" w:sz="8" w:space="0" w:color="008000"/>
              <w:right w:val="single" w:sz="8" w:space="0" w:color="008000"/>
            </w:tcBorders>
            <w:shd w:val="clear" w:color="auto" w:fill="008000"/>
            <w:tcMar>
              <w:left w:w="57" w:type="dxa"/>
              <w:right w:w="85" w:type="dxa"/>
            </w:tcMar>
            <w:vAlign w:val="center"/>
          </w:tcPr>
          <w:p w:rsidR="00351928" w:rsidRPr="00BC792A" w:rsidRDefault="00351928">
            <w:pPr>
              <w:jc w:val="center"/>
              <w:rPr>
                <w:rFonts w:cs="Arial"/>
                <w:b/>
                <w:bCs/>
                <w:color w:val="FFFFFF"/>
                <w:sz w:val="16"/>
                <w:szCs w:val="16"/>
              </w:rPr>
            </w:pPr>
            <w:r w:rsidRPr="00BC792A">
              <w:rPr>
                <w:rFonts w:cs="Arial"/>
                <w:b/>
                <w:bCs/>
                <w:color w:val="FFFFFF"/>
                <w:sz w:val="16"/>
                <w:szCs w:val="16"/>
              </w:rPr>
              <w:t>IDAOPI</w:t>
            </w:r>
          </w:p>
        </w:tc>
      </w:tr>
      <w:tr w:rsidR="00351928" w:rsidRPr="00E1673B" w:rsidTr="00BC792A">
        <w:trPr>
          <w:trHeight w:hRule="exact" w:val="284"/>
        </w:trPr>
        <w:tc>
          <w:tcPr>
            <w:tcW w:w="1276" w:type="dxa"/>
            <w:tcBorders>
              <w:top w:val="nil"/>
              <w:left w:val="single" w:sz="8" w:space="0" w:color="008000"/>
              <w:bottom w:val="single" w:sz="4" w:space="0" w:color="008000"/>
              <w:right w:val="single" w:sz="8" w:space="0" w:color="008000"/>
            </w:tcBorders>
            <w:shd w:val="clear" w:color="auto" w:fill="auto"/>
            <w:noWrap/>
            <w:tcMar>
              <w:left w:w="57" w:type="dxa"/>
              <w:right w:w="85" w:type="dxa"/>
            </w:tcMar>
            <w:vAlign w:val="bottom"/>
          </w:tcPr>
          <w:p w:rsidR="00351928" w:rsidRPr="00E1673B" w:rsidRDefault="00351928" w:rsidP="00E1673B">
            <w:pPr>
              <w:spacing w:after="0"/>
              <w:jc w:val="right"/>
              <w:rPr>
                <w:rFonts w:cs="Arial"/>
                <w:b/>
                <w:bCs/>
                <w:sz w:val="16"/>
                <w:szCs w:val="16"/>
                <w:lang w:eastAsia="en-GB"/>
              </w:rPr>
            </w:pPr>
            <w:r w:rsidRPr="009F0F28">
              <w:rPr>
                <w:rFonts w:cs="Arial"/>
                <w:b/>
                <w:bCs/>
                <w:sz w:val="12"/>
                <w:szCs w:val="12"/>
                <w:lang w:eastAsia="en-GB"/>
              </w:rPr>
              <w:t>(most deprived)</w:t>
            </w:r>
            <w:r w:rsidRPr="00E1673B">
              <w:rPr>
                <w:rFonts w:cs="Arial"/>
                <w:b/>
                <w:bCs/>
                <w:sz w:val="20"/>
                <w:szCs w:val="20"/>
                <w:lang w:eastAsia="en-GB"/>
              </w:rPr>
              <w:t>1</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22.6%</w:t>
            </w:r>
          </w:p>
        </w:tc>
        <w:tc>
          <w:tcPr>
            <w:tcW w:w="85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26.9%</w:t>
            </w:r>
          </w:p>
        </w:tc>
        <w:tc>
          <w:tcPr>
            <w:tcW w:w="1276"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22.6%</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23.7%</w:t>
            </w:r>
          </w:p>
        </w:tc>
        <w:tc>
          <w:tcPr>
            <w:tcW w:w="69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12.9%</w:t>
            </w:r>
          </w:p>
        </w:tc>
        <w:tc>
          <w:tcPr>
            <w:tcW w:w="90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4.8%</w:t>
            </w:r>
          </w:p>
        </w:tc>
        <w:tc>
          <w:tcPr>
            <w:tcW w:w="81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1.6%</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7.0%</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22.6%</w:t>
            </w:r>
          </w:p>
        </w:tc>
        <w:tc>
          <w:tcPr>
            <w:tcW w:w="708" w:type="dxa"/>
            <w:tcBorders>
              <w:top w:val="nil"/>
              <w:left w:val="nil"/>
              <w:bottom w:val="single" w:sz="4" w:space="0" w:color="008000"/>
              <w:right w:val="single" w:sz="8"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25.3%</w:t>
            </w:r>
          </w:p>
        </w:tc>
      </w:tr>
      <w:tr w:rsidR="00351928" w:rsidRPr="00E1673B" w:rsidTr="00BC792A">
        <w:trPr>
          <w:trHeight w:hRule="exact" w:val="284"/>
        </w:trPr>
        <w:tc>
          <w:tcPr>
            <w:tcW w:w="1276" w:type="dxa"/>
            <w:tcBorders>
              <w:top w:val="nil"/>
              <w:left w:val="single" w:sz="8" w:space="0" w:color="008000"/>
              <w:bottom w:val="single" w:sz="4" w:space="0" w:color="008000"/>
              <w:right w:val="single" w:sz="8" w:space="0" w:color="008000"/>
            </w:tcBorders>
            <w:shd w:val="clear" w:color="auto" w:fill="auto"/>
            <w:noWrap/>
            <w:tcMar>
              <w:left w:w="57" w:type="dxa"/>
              <w:right w:w="85" w:type="dxa"/>
            </w:tcMar>
            <w:vAlign w:val="bottom"/>
          </w:tcPr>
          <w:p w:rsidR="00351928" w:rsidRPr="00E1673B" w:rsidRDefault="00351928" w:rsidP="00E1673B">
            <w:pPr>
              <w:spacing w:after="0"/>
              <w:jc w:val="right"/>
              <w:rPr>
                <w:rFonts w:cs="Arial"/>
                <w:b/>
                <w:bCs/>
                <w:sz w:val="20"/>
                <w:szCs w:val="20"/>
                <w:lang w:eastAsia="en-GB"/>
              </w:rPr>
            </w:pPr>
            <w:r w:rsidRPr="00E1673B">
              <w:rPr>
                <w:rFonts w:cs="Arial"/>
                <w:b/>
                <w:bCs/>
                <w:sz w:val="20"/>
                <w:szCs w:val="20"/>
                <w:lang w:eastAsia="en-GB"/>
              </w:rPr>
              <w:t>2</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32.3%</w:t>
            </w:r>
          </w:p>
        </w:tc>
        <w:tc>
          <w:tcPr>
            <w:tcW w:w="85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32.8%</w:t>
            </w:r>
          </w:p>
        </w:tc>
        <w:tc>
          <w:tcPr>
            <w:tcW w:w="1276"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32.3%</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28.0%</w:t>
            </w:r>
          </w:p>
        </w:tc>
        <w:tc>
          <w:tcPr>
            <w:tcW w:w="69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36.0%</w:t>
            </w:r>
          </w:p>
        </w:tc>
        <w:tc>
          <w:tcPr>
            <w:tcW w:w="90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11.8%</w:t>
            </w:r>
          </w:p>
        </w:tc>
        <w:tc>
          <w:tcPr>
            <w:tcW w:w="81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8.1%</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17.7%</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24.2%</w:t>
            </w:r>
          </w:p>
        </w:tc>
        <w:tc>
          <w:tcPr>
            <w:tcW w:w="708" w:type="dxa"/>
            <w:tcBorders>
              <w:top w:val="nil"/>
              <w:left w:val="nil"/>
              <w:bottom w:val="single" w:sz="4" w:space="0" w:color="008000"/>
              <w:right w:val="single" w:sz="8"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35.5%</w:t>
            </w:r>
          </w:p>
        </w:tc>
      </w:tr>
      <w:tr w:rsidR="00351928" w:rsidRPr="00E1673B" w:rsidTr="00BC792A">
        <w:trPr>
          <w:trHeight w:hRule="exact" w:val="284"/>
        </w:trPr>
        <w:tc>
          <w:tcPr>
            <w:tcW w:w="1276" w:type="dxa"/>
            <w:tcBorders>
              <w:top w:val="nil"/>
              <w:left w:val="single" w:sz="8" w:space="0" w:color="008000"/>
              <w:bottom w:val="single" w:sz="4" w:space="0" w:color="008000"/>
              <w:right w:val="single" w:sz="8" w:space="0" w:color="008000"/>
            </w:tcBorders>
            <w:shd w:val="clear" w:color="auto" w:fill="auto"/>
            <w:noWrap/>
            <w:tcMar>
              <w:left w:w="57" w:type="dxa"/>
              <w:right w:w="85" w:type="dxa"/>
            </w:tcMar>
            <w:vAlign w:val="bottom"/>
          </w:tcPr>
          <w:p w:rsidR="00351928" w:rsidRPr="00E1673B" w:rsidRDefault="00351928" w:rsidP="00E1673B">
            <w:pPr>
              <w:spacing w:after="0"/>
              <w:jc w:val="right"/>
              <w:rPr>
                <w:rFonts w:cs="Arial"/>
                <w:b/>
                <w:bCs/>
                <w:sz w:val="20"/>
                <w:szCs w:val="20"/>
                <w:lang w:eastAsia="en-GB"/>
              </w:rPr>
            </w:pPr>
            <w:r w:rsidRPr="00E1673B">
              <w:rPr>
                <w:rFonts w:cs="Arial"/>
                <w:b/>
                <w:bCs/>
                <w:sz w:val="20"/>
                <w:szCs w:val="20"/>
                <w:lang w:eastAsia="en-GB"/>
              </w:rPr>
              <w:t>3</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17.7%</w:t>
            </w:r>
          </w:p>
        </w:tc>
        <w:tc>
          <w:tcPr>
            <w:tcW w:w="85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13.4%</w:t>
            </w:r>
          </w:p>
        </w:tc>
        <w:tc>
          <w:tcPr>
            <w:tcW w:w="1276"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16.7%</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18.3%</w:t>
            </w:r>
          </w:p>
        </w:tc>
        <w:tc>
          <w:tcPr>
            <w:tcW w:w="69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22.0%</w:t>
            </w:r>
          </w:p>
        </w:tc>
        <w:tc>
          <w:tcPr>
            <w:tcW w:w="90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20.4%</w:t>
            </w:r>
          </w:p>
        </w:tc>
        <w:tc>
          <w:tcPr>
            <w:tcW w:w="81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15.6%</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31.7%</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18.3%</w:t>
            </w:r>
          </w:p>
        </w:tc>
        <w:tc>
          <w:tcPr>
            <w:tcW w:w="708" w:type="dxa"/>
            <w:tcBorders>
              <w:top w:val="nil"/>
              <w:left w:val="nil"/>
              <w:bottom w:val="single" w:sz="4" w:space="0" w:color="008000"/>
              <w:right w:val="single" w:sz="8"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14.5%</w:t>
            </w:r>
          </w:p>
        </w:tc>
      </w:tr>
      <w:tr w:rsidR="00351928" w:rsidRPr="00E1673B" w:rsidTr="00BC792A">
        <w:trPr>
          <w:trHeight w:hRule="exact" w:val="284"/>
        </w:trPr>
        <w:tc>
          <w:tcPr>
            <w:tcW w:w="1276" w:type="dxa"/>
            <w:tcBorders>
              <w:top w:val="nil"/>
              <w:left w:val="single" w:sz="8" w:space="0" w:color="008000"/>
              <w:bottom w:val="single" w:sz="4" w:space="0" w:color="008000"/>
              <w:right w:val="single" w:sz="8" w:space="0" w:color="008000"/>
            </w:tcBorders>
            <w:shd w:val="clear" w:color="auto" w:fill="auto"/>
            <w:noWrap/>
            <w:tcMar>
              <w:left w:w="57" w:type="dxa"/>
              <w:right w:w="85" w:type="dxa"/>
            </w:tcMar>
            <w:vAlign w:val="bottom"/>
          </w:tcPr>
          <w:p w:rsidR="00351928" w:rsidRPr="00E1673B" w:rsidRDefault="00351928" w:rsidP="00E1673B">
            <w:pPr>
              <w:spacing w:after="0"/>
              <w:jc w:val="right"/>
              <w:rPr>
                <w:rFonts w:cs="Arial"/>
                <w:b/>
                <w:bCs/>
                <w:sz w:val="20"/>
                <w:szCs w:val="20"/>
                <w:lang w:eastAsia="en-GB"/>
              </w:rPr>
            </w:pPr>
            <w:r w:rsidRPr="00E1673B">
              <w:rPr>
                <w:rFonts w:cs="Arial"/>
                <w:b/>
                <w:bCs/>
                <w:sz w:val="20"/>
                <w:szCs w:val="20"/>
                <w:lang w:eastAsia="en-GB"/>
              </w:rPr>
              <w:t>4</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5.9%</w:t>
            </w:r>
          </w:p>
        </w:tc>
        <w:tc>
          <w:tcPr>
            <w:tcW w:w="85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5.9%</w:t>
            </w:r>
          </w:p>
        </w:tc>
        <w:tc>
          <w:tcPr>
            <w:tcW w:w="1276"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9.7%</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9.1%</w:t>
            </w:r>
          </w:p>
        </w:tc>
        <w:tc>
          <w:tcPr>
            <w:tcW w:w="69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11.8%</w:t>
            </w:r>
          </w:p>
        </w:tc>
        <w:tc>
          <w:tcPr>
            <w:tcW w:w="90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26.3%</w:t>
            </w:r>
          </w:p>
        </w:tc>
        <w:tc>
          <w:tcPr>
            <w:tcW w:w="81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28.0%</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25.8%</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11.8%</w:t>
            </w:r>
          </w:p>
        </w:tc>
        <w:tc>
          <w:tcPr>
            <w:tcW w:w="708" w:type="dxa"/>
            <w:tcBorders>
              <w:top w:val="nil"/>
              <w:left w:val="nil"/>
              <w:bottom w:val="single" w:sz="4" w:space="0" w:color="008000"/>
              <w:right w:val="single" w:sz="8"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8.1%</w:t>
            </w:r>
          </w:p>
        </w:tc>
      </w:tr>
      <w:tr w:rsidR="00351928" w:rsidRPr="00E1673B" w:rsidTr="00BC792A">
        <w:trPr>
          <w:trHeight w:hRule="exact" w:val="284"/>
        </w:trPr>
        <w:tc>
          <w:tcPr>
            <w:tcW w:w="1276" w:type="dxa"/>
            <w:tcBorders>
              <w:top w:val="nil"/>
              <w:left w:val="single" w:sz="8" w:space="0" w:color="008000"/>
              <w:bottom w:val="single" w:sz="4" w:space="0" w:color="008000"/>
              <w:right w:val="single" w:sz="8" w:space="0" w:color="008000"/>
            </w:tcBorders>
            <w:shd w:val="clear" w:color="auto" w:fill="auto"/>
            <w:noWrap/>
            <w:tcMar>
              <w:left w:w="57" w:type="dxa"/>
              <w:right w:w="85" w:type="dxa"/>
            </w:tcMar>
            <w:vAlign w:val="bottom"/>
          </w:tcPr>
          <w:p w:rsidR="00351928" w:rsidRPr="00E1673B" w:rsidRDefault="00351928" w:rsidP="00E1673B">
            <w:pPr>
              <w:spacing w:after="0"/>
              <w:jc w:val="right"/>
              <w:rPr>
                <w:rFonts w:cs="Arial"/>
                <w:b/>
                <w:bCs/>
                <w:sz w:val="20"/>
                <w:szCs w:val="20"/>
                <w:lang w:eastAsia="en-GB"/>
              </w:rPr>
            </w:pPr>
            <w:r w:rsidRPr="00E1673B">
              <w:rPr>
                <w:rFonts w:cs="Arial"/>
                <w:b/>
                <w:bCs/>
                <w:sz w:val="20"/>
                <w:szCs w:val="20"/>
                <w:lang w:eastAsia="en-GB"/>
              </w:rPr>
              <w:t>5</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7.5%</w:t>
            </w:r>
          </w:p>
        </w:tc>
        <w:tc>
          <w:tcPr>
            <w:tcW w:w="85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7.5%</w:t>
            </w:r>
          </w:p>
        </w:tc>
        <w:tc>
          <w:tcPr>
            <w:tcW w:w="1276"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6.5%</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8.1%</w:t>
            </w:r>
          </w:p>
        </w:tc>
        <w:tc>
          <w:tcPr>
            <w:tcW w:w="69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8.6%</w:t>
            </w:r>
          </w:p>
        </w:tc>
        <w:tc>
          <w:tcPr>
            <w:tcW w:w="90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16.1%</w:t>
            </w:r>
          </w:p>
        </w:tc>
        <w:tc>
          <w:tcPr>
            <w:tcW w:w="81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19.4%</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10.8%</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8.1%</w:t>
            </w:r>
          </w:p>
        </w:tc>
        <w:tc>
          <w:tcPr>
            <w:tcW w:w="708" w:type="dxa"/>
            <w:tcBorders>
              <w:top w:val="nil"/>
              <w:left w:val="nil"/>
              <w:bottom w:val="single" w:sz="4" w:space="0" w:color="008000"/>
              <w:right w:val="single" w:sz="8"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6.5%</w:t>
            </w:r>
          </w:p>
        </w:tc>
      </w:tr>
      <w:tr w:rsidR="00351928" w:rsidRPr="00E1673B" w:rsidTr="00BC792A">
        <w:trPr>
          <w:trHeight w:hRule="exact" w:val="284"/>
        </w:trPr>
        <w:tc>
          <w:tcPr>
            <w:tcW w:w="1276" w:type="dxa"/>
            <w:tcBorders>
              <w:top w:val="nil"/>
              <w:left w:val="single" w:sz="8" w:space="0" w:color="008000"/>
              <w:bottom w:val="single" w:sz="4" w:space="0" w:color="008000"/>
              <w:right w:val="single" w:sz="8" w:space="0" w:color="008000"/>
            </w:tcBorders>
            <w:shd w:val="clear" w:color="auto" w:fill="auto"/>
            <w:noWrap/>
            <w:tcMar>
              <w:left w:w="57" w:type="dxa"/>
              <w:right w:w="85" w:type="dxa"/>
            </w:tcMar>
            <w:vAlign w:val="bottom"/>
          </w:tcPr>
          <w:p w:rsidR="00351928" w:rsidRPr="00E1673B" w:rsidRDefault="00351928" w:rsidP="00E1673B">
            <w:pPr>
              <w:spacing w:after="0"/>
              <w:jc w:val="right"/>
              <w:rPr>
                <w:rFonts w:cs="Arial"/>
                <w:b/>
                <w:bCs/>
                <w:sz w:val="20"/>
                <w:szCs w:val="20"/>
                <w:lang w:eastAsia="en-GB"/>
              </w:rPr>
            </w:pPr>
            <w:r w:rsidRPr="00E1673B">
              <w:rPr>
                <w:rFonts w:cs="Arial"/>
                <w:b/>
                <w:bCs/>
                <w:sz w:val="20"/>
                <w:szCs w:val="20"/>
                <w:lang w:eastAsia="en-GB"/>
              </w:rPr>
              <w:t>6</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7.5%</w:t>
            </w:r>
          </w:p>
        </w:tc>
        <w:tc>
          <w:tcPr>
            <w:tcW w:w="85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5.9%</w:t>
            </w:r>
          </w:p>
        </w:tc>
        <w:tc>
          <w:tcPr>
            <w:tcW w:w="1276"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6.5%</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4.3%</w:t>
            </w:r>
          </w:p>
        </w:tc>
        <w:tc>
          <w:tcPr>
            <w:tcW w:w="69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7.0%</w:t>
            </w:r>
          </w:p>
        </w:tc>
        <w:tc>
          <w:tcPr>
            <w:tcW w:w="90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10.8%</w:t>
            </w:r>
          </w:p>
        </w:tc>
        <w:tc>
          <w:tcPr>
            <w:tcW w:w="81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10.2%</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3.8%</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3.2%</w:t>
            </w:r>
          </w:p>
        </w:tc>
        <w:tc>
          <w:tcPr>
            <w:tcW w:w="708" w:type="dxa"/>
            <w:tcBorders>
              <w:top w:val="nil"/>
              <w:left w:val="nil"/>
              <w:bottom w:val="single" w:sz="4" w:space="0" w:color="008000"/>
              <w:right w:val="single" w:sz="8"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4.8%</w:t>
            </w:r>
          </w:p>
        </w:tc>
      </w:tr>
      <w:tr w:rsidR="00351928" w:rsidRPr="00E1673B" w:rsidTr="00BC792A">
        <w:trPr>
          <w:trHeight w:hRule="exact" w:val="284"/>
        </w:trPr>
        <w:tc>
          <w:tcPr>
            <w:tcW w:w="1276" w:type="dxa"/>
            <w:tcBorders>
              <w:top w:val="nil"/>
              <w:left w:val="single" w:sz="8" w:space="0" w:color="008000"/>
              <w:bottom w:val="single" w:sz="4" w:space="0" w:color="008000"/>
              <w:right w:val="single" w:sz="8" w:space="0" w:color="008000"/>
            </w:tcBorders>
            <w:shd w:val="clear" w:color="auto" w:fill="auto"/>
            <w:noWrap/>
            <w:tcMar>
              <w:left w:w="57" w:type="dxa"/>
              <w:right w:w="85" w:type="dxa"/>
            </w:tcMar>
            <w:vAlign w:val="bottom"/>
          </w:tcPr>
          <w:p w:rsidR="00351928" w:rsidRPr="00E1673B" w:rsidRDefault="00351928" w:rsidP="00E1673B">
            <w:pPr>
              <w:spacing w:after="0"/>
              <w:jc w:val="right"/>
              <w:rPr>
                <w:rFonts w:cs="Arial"/>
                <w:b/>
                <w:bCs/>
                <w:sz w:val="20"/>
                <w:szCs w:val="20"/>
                <w:lang w:eastAsia="en-GB"/>
              </w:rPr>
            </w:pPr>
            <w:r w:rsidRPr="00E1673B">
              <w:rPr>
                <w:rFonts w:cs="Arial"/>
                <w:b/>
                <w:bCs/>
                <w:sz w:val="20"/>
                <w:szCs w:val="20"/>
                <w:lang w:eastAsia="en-GB"/>
              </w:rPr>
              <w:t>7</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4.8%</w:t>
            </w:r>
          </w:p>
        </w:tc>
        <w:tc>
          <w:tcPr>
            <w:tcW w:w="85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4.8%</w:t>
            </w:r>
          </w:p>
        </w:tc>
        <w:tc>
          <w:tcPr>
            <w:tcW w:w="1276"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3.2%</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4.3%</w:t>
            </w:r>
          </w:p>
        </w:tc>
        <w:tc>
          <w:tcPr>
            <w:tcW w:w="69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1.6%</w:t>
            </w:r>
          </w:p>
        </w:tc>
        <w:tc>
          <w:tcPr>
            <w:tcW w:w="90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7.5%</w:t>
            </w:r>
          </w:p>
        </w:tc>
        <w:tc>
          <w:tcPr>
            <w:tcW w:w="81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9.1%</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3.2%</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7.0%</w:t>
            </w:r>
          </w:p>
        </w:tc>
        <w:tc>
          <w:tcPr>
            <w:tcW w:w="708" w:type="dxa"/>
            <w:tcBorders>
              <w:top w:val="nil"/>
              <w:left w:val="nil"/>
              <w:bottom w:val="single" w:sz="4" w:space="0" w:color="008000"/>
              <w:right w:val="single" w:sz="8"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4.3%</w:t>
            </w:r>
          </w:p>
        </w:tc>
      </w:tr>
      <w:tr w:rsidR="00351928" w:rsidRPr="00E1673B" w:rsidTr="00BC792A">
        <w:trPr>
          <w:trHeight w:hRule="exact" w:val="284"/>
        </w:trPr>
        <w:tc>
          <w:tcPr>
            <w:tcW w:w="1276" w:type="dxa"/>
            <w:tcBorders>
              <w:top w:val="nil"/>
              <w:left w:val="single" w:sz="8" w:space="0" w:color="008000"/>
              <w:bottom w:val="single" w:sz="4" w:space="0" w:color="008000"/>
              <w:right w:val="single" w:sz="8" w:space="0" w:color="008000"/>
            </w:tcBorders>
            <w:shd w:val="clear" w:color="auto" w:fill="auto"/>
            <w:noWrap/>
            <w:tcMar>
              <w:left w:w="57" w:type="dxa"/>
              <w:right w:w="85" w:type="dxa"/>
            </w:tcMar>
            <w:vAlign w:val="bottom"/>
          </w:tcPr>
          <w:p w:rsidR="00351928" w:rsidRPr="00E1673B" w:rsidRDefault="00351928" w:rsidP="00E1673B">
            <w:pPr>
              <w:spacing w:after="0"/>
              <w:jc w:val="right"/>
              <w:rPr>
                <w:rFonts w:cs="Arial"/>
                <w:b/>
                <w:bCs/>
                <w:sz w:val="20"/>
                <w:szCs w:val="20"/>
                <w:lang w:eastAsia="en-GB"/>
              </w:rPr>
            </w:pPr>
            <w:r w:rsidRPr="00E1673B">
              <w:rPr>
                <w:rFonts w:cs="Arial"/>
                <w:b/>
                <w:bCs/>
                <w:sz w:val="20"/>
                <w:szCs w:val="20"/>
                <w:lang w:eastAsia="en-GB"/>
              </w:rPr>
              <w:t>8</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1.1%</w:t>
            </w:r>
          </w:p>
        </w:tc>
        <w:tc>
          <w:tcPr>
            <w:tcW w:w="85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2.2%</w:t>
            </w:r>
          </w:p>
        </w:tc>
        <w:tc>
          <w:tcPr>
            <w:tcW w:w="1276"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2.2%</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3.8%</w:t>
            </w:r>
          </w:p>
        </w:tc>
        <w:tc>
          <w:tcPr>
            <w:tcW w:w="69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0.0%</w:t>
            </w:r>
          </w:p>
        </w:tc>
        <w:tc>
          <w:tcPr>
            <w:tcW w:w="90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1.6%</w:t>
            </w:r>
          </w:p>
        </w:tc>
        <w:tc>
          <w:tcPr>
            <w:tcW w:w="81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7.0%</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0.0%</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4.8%</w:t>
            </w:r>
          </w:p>
        </w:tc>
        <w:tc>
          <w:tcPr>
            <w:tcW w:w="708" w:type="dxa"/>
            <w:tcBorders>
              <w:top w:val="nil"/>
              <w:left w:val="nil"/>
              <w:bottom w:val="single" w:sz="4" w:space="0" w:color="008000"/>
              <w:right w:val="single" w:sz="8"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0.5%</w:t>
            </w:r>
          </w:p>
        </w:tc>
      </w:tr>
      <w:tr w:rsidR="00351928" w:rsidRPr="00E1673B" w:rsidTr="00BC792A">
        <w:trPr>
          <w:trHeight w:hRule="exact" w:val="284"/>
        </w:trPr>
        <w:tc>
          <w:tcPr>
            <w:tcW w:w="1276" w:type="dxa"/>
            <w:tcBorders>
              <w:top w:val="nil"/>
              <w:left w:val="single" w:sz="8" w:space="0" w:color="008000"/>
              <w:bottom w:val="single" w:sz="4" w:space="0" w:color="008000"/>
              <w:right w:val="single" w:sz="8" w:space="0" w:color="008000"/>
            </w:tcBorders>
            <w:shd w:val="clear" w:color="auto" w:fill="auto"/>
            <w:noWrap/>
            <w:tcMar>
              <w:left w:w="57" w:type="dxa"/>
              <w:right w:w="85" w:type="dxa"/>
            </w:tcMar>
            <w:vAlign w:val="bottom"/>
          </w:tcPr>
          <w:p w:rsidR="00351928" w:rsidRPr="00E1673B" w:rsidRDefault="00351928" w:rsidP="00E1673B">
            <w:pPr>
              <w:spacing w:after="0"/>
              <w:jc w:val="right"/>
              <w:rPr>
                <w:rFonts w:cs="Arial"/>
                <w:b/>
                <w:bCs/>
                <w:sz w:val="20"/>
                <w:szCs w:val="20"/>
                <w:lang w:eastAsia="en-GB"/>
              </w:rPr>
            </w:pPr>
            <w:r w:rsidRPr="00E1673B">
              <w:rPr>
                <w:rFonts w:cs="Arial"/>
                <w:b/>
                <w:bCs/>
                <w:sz w:val="20"/>
                <w:szCs w:val="20"/>
                <w:lang w:eastAsia="en-GB"/>
              </w:rPr>
              <w:t>9</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0.5%</w:t>
            </w:r>
          </w:p>
        </w:tc>
        <w:tc>
          <w:tcPr>
            <w:tcW w:w="85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0.5%</w:t>
            </w:r>
          </w:p>
        </w:tc>
        <w:tc>
          <w:tcPr>
            <w:tcW w:w="1276"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0.5%</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0.0%</w:t>
            </w:r>
          </w:p>
        </w:tc>
        <w:tc>
          <w:tcPr>
            <w:tcW w:w="69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0.0%</w:t>
            </w:r>
          </w:p>
        </w:tc>
        <w:tc>
          <w:tcPr>
            <w:tcW w:w="900"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0.5%</w:t>
            </w:r>
          </w:p>
        </w:tc>
        <w:tc>
          <w:tcPr>
            <w:tcW w:w="815"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0.5%</w:t>
            </w:r>
          </w:p>
        </w:tc>
        <w:tc>
          <w:tcPr>
            <w:tcW w:w="1134"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0.0%</w:t>
            </w:r>
          </w:p>
        </w:tc>
        <w:tc>
          <w:tcPr>
            <w:tcW w:w="709" w:type="dxa"/>
            <w:tcBorders>
              <w:top w:val="nil"/>
              <w:left w:val="nil"/>
              <w:bottom w:val="single" w:sz="4"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0.0%</w:t>
            </w:r>
          </w:p>
        </w:tc>
        <w:tc>
          <w:tcPr>
            <w:tcW w:w="708" w:type="dxa"/>
            <w:tcBorders>
              <w:top w:val="nil"/>
              <w:left w:val="nil"/>
              <w:bottom w:val="single" w:sz="4" w:space="0" w:color="008000"/>
              <w:right w:val="single" w:sz="8"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0.5%</w:t>
            </w:r>
          </w:p>
        </w:tc>
      </w:tr>
      <w:tr w:rsidR="00351928" w:rsidRPr="00E1673B" w:rsidTr="00BC792A">
        <w:trPr>
          <w:trHeight w:hRule="exact" w:val="284"/>
        </w:trPr>
        <w:tc>
          <w:tcPr>
            <w:tcW w:w="1276" w:type="dxa"/>
            <w:tcBorders>
              <w:top w:val="nil"/>
              <w:left w:val="single" w:sz="8" w:space="0" w:color="008000"/>
              <w:bottom w:val="single" w:sz="8" w:space="0" w:color="008000"/>
              <w:right w:val="single" w:sz="8" w:space="0" w:color="008000"/>
            </w:tcBorders>
            <w:shd w:val="clear" w:color="auto" w:fill="auto"/>
            <w:noWrap/>
            <w:tcMar>
              <w:left w:w="57" w:type="dxa"/>
              <w:right w:w="85" w:type="dxa"/>
            </w:tcMar>
            <w:vAlign w:val="bottom"/>
          </w:tcPr>
          <w:p w:rsidR="00351928" w:rsidRPr="00E1673B" w:rsidRDefault="00351928" w:rsidP="00E1673B">
            <w:pPr>
              <w:spacing w:after="0"/>
              <w:jc w:val="right"/>
              <w:rPr>
                <w:rFonts w:cs="Arial"/>
                <w:b/>
                <w:bCs/>
                <w:sz w:val="16"/>
                <w:szCs w:val="16"/>
                <w:lang w:eastAsia="en-GB"/>
              </w:rPr>
            </w:pPr>
            <w:r w:rsidRPr="009F0F28">
              <w:rPr>
                <w:rFonts w:cs="Arial"/>
                <w:b/>
                <w:bCs/>
                <w:sz w:val="12"/>
                <w:szCs w:val="12"/>
                <w:lang w:eastAsia="en-GB"/>
              </w:rPr>
              <w:t>(least deprived)</w:t>
            </w:r>
            <w:r w:rsidRPr="00E1673B">
              <w:rPr>
                <w:rFonts w:cs="Arial"/>
                <w:b/>
                <w:bCs/>
                <w:sz w:val="20"/>
                <w:szCs w:val="20"/>
                <w:lang w:eastAsia="en-GB"/>
              </w:rPr>
              <w:t>10</w:t>
            </w:r>
          </w:p>
        </w:tc>
        <w:tc>
          <w:tcPr>
            <w:tcW w:w="709" w:type="dxa"/>
            <w:tcBorders>
              <w:top w:val="nil"/>
              <w:left w:val="nil"/>
              <w:bottom w:val="single" w:sz="8"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0.0%</w:t>
            </w:r>
          </w:p>
        </w:tc>
        <w:tc>
          <w:tcPr>
            <w:tcW w:w="850" w:type="dxa"/>
            <w:tcBorders>
              <w:top w:val="nil"/>
              <w:left w:val="nil"/>
              <w:bottom w:val="single" w:sz="8"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0.0%</w:t>
            </w:r>
          </w:p>
        </w:tc>
        <w:tc>
          <w:tcPr>
            <w:tcW w:w="1276" w:type="dxa"/>
            <w:tcBorders>
              <w:top w:val="nil"/>
              <w:left w:val="nil"/>
              <w:bottom w:val="single" w:sz="8"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0.0%</w:t>
            </w:r>
          </w:p>
        </w:tc>
        <w:tc>
          <w:tcPr>
            <w:tcW w:w="1134" w:type="dxa"/>
            <w:tcBorders>
              <w:top w:val="nil"/>
              <w:left w:val="nil"/>
              <w:bottom w:val="single" w:sz="8"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0.5%</w:t>
            </w:r>
          </w:p>
        </w:tc>
        <w:tc>
          <w:tcPr>
            <w:tcW w:w="695" w:type="dxa"/>
            <w:tcBorders>
              <w:top w:val="nil"/>
              <w:left w:val="nil"/>
              <w:bottom w:val="single" w:sz="8"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0.0%</w:t>
            </w:r>
          </w:p>
        </w:tc>
        <w:tc>
          <w:tcPr>
            <w:tcW w:w="900" w:type="dxa"/>
            <w:tcBorders>
              <w:top w:val="nil"/>
              <w:left w:val="nil"/>
              <w:bottom w:val="single" w:sz="8"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0.0%</w:t>
            </w:r>
          </w:p>
        </w:tc>
        <w:tc>
          <w:tcPr>
            <w:tcW w:w="815" w:type="dxa"/>
            <w:tcBorders>
              <w:top w:val="nil"/>
              <w:left w:val="nil"/>
              <w:bottom w:val="single" w:sz="8"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0.5%</w:t>
            </w:r>
          </w:p>
        </w:tc>
        <w:tc>
          <w:tcPr>
            <w:tcW w:w="1134" w:type="dxa"/>
            <w:tcBorders>
              <w:top w:val="nil"/>
              <w:left w:val="nil"/>
              <w:bottom w:val="single" w:sz="8"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0.0%</w:t>
            </w:r>
          </w:p>
        </w:tc>
        <w:tc>
          <w:tcPr>
            <w:tcW w:w="709" w:type="dxa"/>
            <w:tcBorders>
              <w:top w:val="nil"/>
              <w:left w:val="nil"/>
              <w:bottom w:val="single" w:sz="8" w:space="0" w:color="008000"/>
              <w:right w:val="single" w:sz="4"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0.0%</w:t>
            </w:r>
          </w:p>
        </w:tc>
        <w:tc>
          <w:tcPr>
            <w:tcW w:w="708" w:type="dxa"/>
            <w:tcBorders>
              <w:top w:val="nil"/>
              <w:left w:val="nil"/>
              <w:bottom w:val="single" w:sz="8" w:space="0" w:color="008000"/>
              <w:right w:val="single" w:sz="8" w:space="0" w:color="008000"/>
            </w:tcBorders>
            <w:shd w:val="clear" w:color="auto" w:fill="auto"/>
            <w:noWrap/>
            <w:tcMar>
              <w:left w:w="85" w:type="dxa"/>
              <w:right w:w="85" w:type="dxa"/>
            </w:tcMar>
            <w:vAlign w:val="bottom"/>
          </w:tcPr>
          <w:p w:rsidR="00351928" w:rsidRPr="00BC792A" w:rsidRDefault="00351928" w:rsidP="00BC792A">
            <w:pPr>
              <w:jc w:val="center"/>
              <w:rPr>
                <w:rFonts w:ascii="Calibri" w:hAnsi="Calibri" w:cs="Calibri"/>
                <w:color w:val="000000"/>
                <w:sz w:val="20"/>
                <w:szCs w:val="20"/>
              </w:rPr>
            </w:pPr>
            <w:r w:rsidRPr="00BC792A">
              <w:rPr>
                <w:rFonts w:ascii="Calibri" w:hAnsi="Calibri" w:cs="Calibri"/>
                <w:color w:val="000000"/>
                <w:sz w:val="20"/>
                <w:szCs w:val="20"/>
              </w:rPr>
              <w:t>0.0%</w:t>
            </w:r>
          </w:p>
        </w:tc>
      </w:tr>
    </w:tbl>
    <w:p w:rsidR="009E6C1C" w:rsidRDefault="0008627A" w:rsidP="00A00107">
      <w:pPr>
        <w:rPr>
          <w:rStyle w:val="FigureCaption"/>
        </w:rPr>
      </w:pPr>
      <w:r>
        <w:rPr>
          <w:rStyle w:val="FigureCaption"/>
        </w:rPr>
        <w:br/>
      </w:r>
      <w:r w:rsidR="009E6C1C" w:rsidRPr="009B0B67">
        <w:rPr>
          <w:rStyle w:val="FigureCaption"/>
        </w:rPr>
        <w:t>Table 4. Sandwell LSOAs (%) in national deciles for the deprivation domains 20</w:t>
      </w:r>
      <w:r w:rsidR="001D1FF8">
        <w:rPr>
          <w:rStyle w:val="FigureCaption"/>
        </w:rPr>
        <w:t>1</w:t>
      </w:r>
      <w:r w:rsidR="00351928">
        <w:rPr>
          <w:rStyle w:val="FigureCaption"/>
        </w:rPr>
        <w:t>5</w:t>
      </w:r>
      <w:r w:rsidR="009E6C1C" w:rsidRPr="009B0B67">
        <w:rPr>
          <w:rStyle w:val="FigureCaption"/>
        </w:rPr>
        <w:t>.</w:t>
      </w:r>
      <w:r w:rsidR="005F639A">
        <w:rPr>
          <w:rStyle w:val="FigureCaption"/>
        </w:rPr>
        <w:t xml:space="preserve"> (DCLG, 20</w:t>
      </w:r>
      <w:r w:rsidR="001D1FF8">
        <w:rPr>
          <w:rStyle w:val="FigureCaption"/>
        </w:rPr>
        <w:t>1</w:t>
      </w:r>
      <w:r w:rsidR="00351928">
        <w:rPr>
          <w:rStyle w:val="FigureCaption"/>
        </w:rPr>
        <w:t>5</w:t>
      </w:r>
      <w:r w:rsidR="005F639A">
        <w:rPr>
          <w:rStyle w:val="FigureCaption"/>
        </w:rPr>
        <w:t>)</w:t>
      </w:r>
      <w:r w:rsidR="009E6C1C" w:rsidRPr="009B0B67">
        <w:rPr>
          <w:rStyle w:val="FigureCaption"/>
        </w:rPr>
        <w:t xml:space="preserve"> </w:t>
      </w:r>
    </w:p>
    <w:p w:rsidR="00EB5A70" w:rsidRDefault="00EB5A70" w:rsidP="004178AB">
      <w:pPr>
        <w:jc w:val="both"/>
      </w:pPr>
    </w:p>
    <w:p w:rsidR="00BC792A" w:rsidRDefault="004178AB" w:rsidP="004178AB">
      <w:pPr>
        <w:jc w:val="both"/>
        <w:rPr>
          <w:rFonts w:cs="Arial"/>
        </w:rPr>
      </w:pPr>
      <w:r>
        <w:t xml:space="preserve">On the combined IMD domain, </w:t>
      </w:r>
      <w:r w:rsidR="00BC792A">
        <w:rPr>
          <w:rFonts w:cs="Arial"/>
        </w:rPr>
        <w:t>one in five</w:t>
      </w:r>
      <w:r w:rsidR="00BC792A" w:rsidRPr="00DB661D">
        <w:rPr>
          <w:rFonts w:cs="Arial"/>
        </w:rPr>
        <w:t xml:space="preserve"> of Sandwell’s LSOAs fall into the most deprived 10% nationally in</w:t>
      </w:r>
      <w:r w:rsidR="00BC792A">
        <w:rPr>
          <w:rFonts w:cs="Arial"/>
        </w:rPr>
        <w:t xml:space="preserve"> 2015</w:t>
      </w:r>
      <w:r w:rsidR="00BC792A" w:rsidRPr="003B0CCB">
        <w:rPr>
          <w:rFonts w:cs="Arial"/>
        </w:rPr>
        <w:t>.</w:t>
      </w:r>
      <w:r w:rsidR="00BC792A">
        <w:rPr>
          <w:rFonts w:cs="Arial"/>
        </w:rPr>
        <w:t xml:space="preserve"> </w:t>
      </w:r>
      <w:r w:rsidR="00BC792A" w:rsidRPr="003B0CCB">
        <w:rPr>
          <w:rFonts w:cs="Arial"/>
        </w:rPr>
        <w:t xml:space="preserve">A further </w:t>
      </w:r>
      <w:r w:rsidR="00BC792A">
        <w:rPr>
          <w:rFonts w:cs="Arial"/>
        </w:rPr>
        <w:t>third</w:t>
      </w:r>
      <w:r w:rsidR="00BC792A" w:rsidRPr="003B0CCB">
        <w:rPr>
          <w:rFonts w:cs="Arial"/>
        </w:rPr>
        <w:t xml:space="preserve"> fall into the most deprived 10-20%</w:t>
      </w:r>
      <w:r w:rsidR="00BC792A">
        <w:rPr>
          <w:rFonts w:cs="Arial"/>
        </w:rPr>
        <w:t>,</w:t>
      </w:r>
      <w:r w:rsidR="00BC792A" w:rsidRPr="003B0CCB">
        <w:rPr>
          <w:rFonts w:cs="Arial"/>
        </w:rPr>
        <w:t xml:space="preserve"> </w:t>
      </w:r>
      <w:r w:rsidR="00BC792A">
        <w:rPr>
          <w:rFonts w:cs="Arial"/>
        </w:rPr>
        <w:t xml:space="preserve">so overall 55% of Sandwell’s LSOAs fall within the worst 20% nationally, </w:t>
      </w:r>
      <w:r w:rsidR="00BC792A" w:rsidRPr="003B0CCB">
        <w:rPr>
          <w:rFonts w:cs="Arial"/>
        </w:rPr>
        <w:t>clearly displaying the high levels of deprivation prevalent in large parts of Sandwell.</w:t>
      </w:r>
      <w:r w:rsidR="00BC792A">
        <w:rPr>
          <w:rFonts w:cs="Arial"/>
        </w:rPr>
        <w:t xml:space="preserve"> Over three quarters of Sandwell’s LSOAs are </w:t>
      </w:r>
      <w:r w:rsidR="00597986">
        <w:rPr>
          <w:rFonts w:cs="Arial"/>
        </w:rPr>
        <w:t>within the worst 40% nationally and no Sandwell LSOA’s are in the least 10% deprived.</w:t>
      </w:r>
    </w:p>
    <w:p w:rsidR="00317E08" w:rsidRPr="009B0B67" w:rsidRDefault="00EC4B96" w:rsidP="00EC4B96">
      <w:pPr>
        <w:jc w:val="both"/>
        <w:rPr>
          <w:rStyle w:val="FigureCaption"/>
        </w:rPr>
      </w:pPr>
      <w:r>
        <w:rPr>
          <w:noProof/>
          <w:lang w:eastAsia="en-GB"/>
        </w:rPr>
        <w:drawing>
          <wp:anchor distT="0" distB="0" distL="114300" distR="114300" simplePos="0" relativeHeight="251659776" behindDoc="0" locked="0" layoutInCell="1" allowOverlap="1" wp14:anchorId="001BDB0D" wp14:editId="47AF26BD">
            <wp:simplePos x="0" y="0"/>
            <wp:positionH relativeFrom="column">
              <wp:posOffset>-26035</wp:posOffset>
            </wp:positionH>
            <wp:positionV relativeFrom="paragraph">
              <wp:posOffset>189865</wp:posOffset>
            </wp:positionV>
            <wp:extent cx="6441440" cy="4181475"/>
            <wp:effectExtent l="0" t="0" r="16510" b="952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rStyle w:val="FigureCaption"/>
        </w:rPr>
        <w:br/>
      </w:r>
      <w:r>
        <w:rPr>
          <w:rStyle w:val="FigureCaption"/>
        </w:rPr>
        <w:br/>
      </w:r>
      <w:r w:rsidR="00317E08" w:rsidRPr="009B0B67">
        <w:rPr>
          <w:rStyle w:val="FigureCaption"/>
        </w:rPr>
        <w:t>Chart 1. Index of multiple deprivation in Sandwell by national deciles, 2004</w:t>
      </w:r>
      <w:r w:rsidR="00F44D1E">
        <w:rPr>
          <w:rStyle w:val="FigureCaption"/>
        </w:rPr>
        <w:t>, 2007</w:t>
      </w:r>
      <w:r>
        <w:rPr>
          <w:rStyle w:val="FigureCaption"/>
        </w:rPr>
        <w:t xml:space="preserve">, </w:t>
      </w:r>
      <w:r w:rsidR="00317E08" w:rsidRPr="009B0B67">
        <w:rPr>
          <w:rStyle w:val="FigureCaption"/>
        </w:rPr>
        <w:t>20</w:t>
      </w:r>
      <w:r w:rsidR="00F44D1E">
        <w:rPr>
          <w:rStyle w:val="FigureCaption"/>
        </w:rPr>
        <w:t>1</w:t>
      </w:r>
      <w:r w:rsidR="00317E08" w:rsidRPr="009B0B67">
        <w:rPr>
          <w:rStyle w:val="FigureCaption"/>
        </w:rPr>
        <w:t>0</w:t>
      </w:r>
      <w:r>
        <w:rPr>
          <w:rStyle w:val="FigureCaption"/>
        </w:rPr>
        <w:t xml:space="preserve"> and 2015</w:t>
      </w:r>
      <w:r w:rsidR="00F44D1E">
        <w:rPr>
          <w:rStyle w:val="FigureCaption"/>
        </w:rPr>
        <w:t>.</w:t>
      </w:r>
      <w:r w:rsidR="00317E08">
        <w:rPr>
          <w:rStyle w:val="FigureCaption"/>
        </w:rPr>
        <w:t xml:space="preserve"> (DCLG).</w:t>
      </w:r>
    </w:p>
    <w:p w:rsidR="00E50F3C" w:rsidRDefault="00EC4B96" w:rsidP="00C068C2">
      <w:pPr>
        <w:jc w:val="both"/>
      </w:pPr>
      <w:r>
        <w:rPr>
          <w:rFonts w:cs="Arial"/>
        </w:rPr>
        <w:t xml:space="preserve"> </w:t>
      </w:r>
      <w:r w:rsidRPr="003B0CCB">
        <w:rPr>
          <w:rFonts w:cs="Arial"/>
        </w:rPr>
        <w:t xml:space="preserve"> </w:t>
      </w:r>
    </w:p>
    <w:p w:rsidR="00916394" w:rsidRPr="00A00107" w:rsidRDefault="00C068C2" w:rsidP="00C068C2">
      <w:pPr>
        <w:jc w:val="both"/>
      </w:pPr>
      <w:r>
        <w:lastRenderedPageBreak/>
        <w:t>Looking at Sandwell’s combined IMD over time, i</w:t>
      </w:r>
      <w:r w:rsidR="00916394" w:rsidRPr="00A00107">
        <w:t xml:space="preserve">t can be seen that the percentage of Sandwell’s LSOAs in </w:t>
      </w:r>
      <w:r w:rsidR="00317E08">
        <w:t>the most deprived 10%</w:t>
      </w:r>
      <w:r w:rsidR="00916394" w:rsidRPr="00A00107">
        <w:t xml:space="preserve"> </w:t>
      </w:r>
      <w:r w:rsidR="00EC4B96">
        <w:t>grew from 2004 to 2010, but has now fallen in 2015 to just over 20%</w:t>
      </w:r>
      <w:r w:rsidR="00916394" w:rsidRPr="00A00107">
        <w:t xml:space="preserve">. A further </w:t>
      </w:r>
      <w:r w:rsidR="00EC4B96">
        <w:t>third</w:t>
      </w:r>
      <w:r w:rsidR="00916394" w:rsidRPr="00A00107">
        <w:t xml:space="preserve"> </w:t>
      </w:r>
      <w:r w:rsidR="00EC4B96">
        <w:t xml:space="preserve">of LSOAs </w:t>
      </w:r>
      <w:r w:rsidR="00916394" w:rsidRPr="00A00107">
        <w:t xml:space="preserve">fall into </w:t>
      </w:r>
      <w:r w:rsidR="00317E08">
        <w:t>the most deprived 10-20%</w:t>
      </w:r>
      <w:r w:rsidR="00C046F7">
        <w:t>,</w:t>
      </w:r>
      <w:r w:rsidR="00916394" w:rsidRPr="00A00107">
        <w:t xml:space="preserve"> clearly displaying the high levels of deprivation prevalent in large parts of Sandwell. </w:t>
      </w:r>
      <w:r w:rsidR="0091199D">
        <w:t>However since 2007, there has been a</w:t>
      </w:r>
      <w:r w:rsidR="00FA12C4">
        <w:t>n overall</w:t>
      </w:r>
      <w:r w:rsidR="0091199D">
        <w:t xml:space="preserve"> fall in the proportion in the worst 20% nationally. </w:t>
      </w:r>
    </w:p>
    <w:p w:rsidR="006F6CB7" w:rsidRDefault="00E50F3C" w:rsidP="00E50F3C">
      <w:pPr>
        <w:jc w:val="both"/>
      </w:pPr>
      <w:r>
        <w:t>M</w:t>
      </w:r>
      <w:r w:rsidRPr="00A00107">
        <w:t xml:space="preserve">ap </w:t>
      </w:r>
      <w:r>
        <w:t xml:space="preserve">1 shows the distribution of deprivation across the borough.  The darkest shades </w:t>
      </w:r>
      <w:r w:rsidRPr="00A00107">
        <w:t>indicat</w:t>
      </w:r>
      <w:r>
        <w:t>e</w:t>
      </w:r>
      <w:r w:rsidRPr="00A00107">
        <w:t xml:space="preserve"> that</w:t>
      </w:r>
      <w:r>
        <w:t xml:space="preserve"> these</w:t>
      </w:r>
      <w:r w:rsidRPr="00A00107">
        <w:t xml:space="preserve"> are amongst </w:t>
      </w:r>
      <w:smartTag w:uri="urn:schemas-microsoft-com:office:smarttags" w:element="place">
        <w:smartTag w:uri="urn:schemas-microsoft-com:office:smarttags" w:element="country-region">
          <w:smartTag w:uri="urn:schemas-microsoft-com:office:smarttags" w:element="Street">
            <w:r w:rsidRPr="00A00107">
              <w:t>England</w:t>
            </w:r>
          </w:smartTag>
        </w:smartTag>
      </w:smartTag>
      <w:r w:rsidRPr="00A00107">
        <w:t>’s most deprived</w:t>
      </w:r>
      <w:r>
        <w:t xml:space="preserve"> LSOAs</w:t>
      </w:r>
      <w:r w:rsidRPr="00A00107">
        <w:t>. Large areas of Smethwick, Tipton</w:t>
      </w:r>
      <w:r>
        <w:t>, Wednesbury</w:t>
      </w:r>
      <w:r w:rsidRPr="00A00107">
        <w:t xml:space="preserve"> and </w:t>
      </w:r>
      <w:smartTag w:uri="urn:schemas-microsoft-com:office:smarttags" w:element="place">
        <w:r w:rsidRPr="00A00107">
          <w:t>West Bromwich</w:t>
        </w:r>
      </w:smartTag>
      <w:r w:rsidRPr="00A00107">
        <w:t xml:space="preserve"> are heavily deprived. The less deprived Sandwell areas are represented by lighter shades and can be seen in the north east of West Bromwich, and the peripheries of </w:t>
      </w:r>
      <w:smartTag w:uri="urn:schemas-microsoft-com:office:smarttags" w:element="place">
        <w:r w:rsidRPr="00A00107">
          <w:t>Smethwick</w:t>
        </w:r>
      </w:smartTag>
      <w:r w:rsidRPr="00A00107">
        <w:t>, Oldbury and Rowley</w:t>
      </w:r>
      <w:r>
        <w:t xml:space="preserve"> Regis</w:t>
      </w:r>
      <w:r w:rsidRPr="00A00107">
        <w:t>.</w:t>
      </w:r>
      <w:r>
        <w:t xml:space="preserve"> </w:t>
      </w:r>
    </w:p>
    <w:p w:rsidR="00F5472D" w:rsidRPr="00A00107" w:rsidRDefault="00F5472D" w:rsidP="00E50F3C">
      <w:pPr>
        <w:jc w:val="both"/>
      </w:pPr>
    </w:p>
    <w:p w:rsidR="006F6CB7" w:rsidRPr="00A00107" w:rsidRDefault="00F16821" w:rsidP="00A00107">
      <w:r>
        <w:rPr>
          <w:noProof/>
          <w:lang w:eastAsia="en-GB"/>
        </w:rPr>
        <w:drawing>
          <wp:inline distT="0" distB="0" distL="0" distR="0">
            <wp:extent cx="6479540" cy="4585335"/>
            <wp:effectExtent l="19050" t="19050" r="16510"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wellLSOA_Ma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9540" cy="4585335"/>
                    </a:xfrm>
                    <a:prstGeom prst="rect">
                      <a:avLst/>
                    </a:prstGeom>
                    <a:ln>
                      <a:solidFill>
                        <a:srgbClr val="008000"/>
                      </a:solidFill>
                    </a:ln>
                  </pic:spPr>
                </pic:pic>
              </a:graphicData>
            </a:graphic>
          </wp:inline>
        </w:drawing>
      </w:r>
    </w:p>
    <w:p w:rsidR="00FB56BA" w:rsidRPr="009B0B67" w:rsidRDefault="00FB56BA" w:rsidP="00FB56BA">
      <w:pPr>
        <w:rPr>
          <w:rStyle w:val="FigureCaption"/>
        </w:rPr>
      </w:pPr>
      <w:r w:rsidRPr="009B0B67">
        <w:rPr>
          <w:rStyle w:val="FigureCaption"/>
        </w:rPr>
        <w:t>Map1. IMD 20</w:t>
      </w:r>
      <w:r w:rsidR="008841C0">
        <w:rPr>
          <w:rStyle w:val="FigureCaption"/>
        </w:rPr>
        <w:t>1</w:t>
      </w:r>
      <w:r w:rsidR="00457C17">
        <w:rPr>
          <w:rStyle w:val="FigureCaption"/>
        </w:rPr>
        <w:t>5</w:t>
      </w:r>
      <w:r w:rsidRPr="009B0B67">
        <w:rPr>
          <w:rStyle w:val="FigureCaption"/>
        </w:rPr>
        <w:t xml:space="preserve"> National Deciles in Sandwell LSOAs.</w:t>
      </w:r>
      <w:r>
        <w:rPr>
          <w:rStyle w:val="FigureCaption"/>
        </w:rPr>
        <w:t xml:space="preserve"> (DCLG, 20</w:t>
      </w:r>
      <w:r w:rsidR="008841C0">
        <w:rPr>
          <w:rStyle w:val="FigureCaption"/>
        </w:rPr>
        <w:t>1</w:t>
      </w:r>
      <w:r w:rsidR="00457C17">
        <w:rPr>
          <w:rStyle w:val="FigureCaption"/>
        </w:rPr>
        <w:t>5</w:t>
      </w:r>
      <w:r>
        <w:rPr>
          <w:rStyle w:val="FigureCaption"/>
        </w:rPr>
        <w:t>).</w:t>
      </w:r>
    </w:p>
    <w:p w:rsidR="008552C4" w:rsidRPr="00A00107" w:rsidRDefault="003A4CB0" w:rsidP="0000386B">
      <w:pPr>
        <w:jc w:val="both"/>
      </w:pPr>
      <w:r>
        <w:t>In terms of individual domains, m</w:t>
      </w:r>
      <w:r w:rsidR="00AA65D2">
        <w:t>ost</w:t>
      </w:r>
      <w:r w:rsidR="00884C0E" w:rsidRPr="00A00107">
        <w:t xml:space="preserve"> have experienced </w:t>
      </w:r>
      <w:r w:rsidR="00AA65D2">
        <w:t>a de</w:t>
      </w:r>
      <w:r w:rsidR="00884C0E" w:rsidRPr="00A00107">
        <w:t xml:space="preserve">crease in the </w:t>
      </w:r>
      <w:r w:rsidR="0000386B">
        <w:t>proportion</w:t>
      </w:r>
      <w:r w:rsidR="00884C0E" w:rsidRPr="00A00107">
        <w:t xml:space="preserve"> of LSOAs in the most deprived 10% nationally.</w:t>
      </w:r>
      <w:r w:rsidR="00186AC3" w:rsidRPr="00A00107">
        <w:t xml:space="preserve"> All but </w:t>
      </w:r>
      <w:r w:rsidR="0000386B" w:rsidRPr="0000386B">
        <w:rPr>
          <w:i/>
        </w:rPr>
        <w:t>income</w:t>
      </w:r>
      <w:r w:rsidR="00186AC3" w:rsidRPr="00A00107">
        <w:t xml:space="preserve"> and </w:t>
      </w:r>
      <w:r w:rsidR="0000386B" w:rsidRPr="0000386B">
        <w:rPr>
          <w:i/>
        </w:rPr>
        <w:t>housing</w:t>
      </w:r>
      <w:r w:rsidR="00186AC3" w:rsidRPr="00A00107">
        <w:t xml:space="preserve"> have experienced a </w:t>
      </w:r>
      <w:r w:rsidR="00AA65D2">
        <w:t>decline in</w:t>
      </w:r>
      <w:r w:rsidR="00186AC3" w:rsidRPr="00A00107">
        <w:t xml:space="preserve"> LSOAs in </w:t>
      </w:r>
      <w:r w:rsidR="00FB56BA">
        <w:t xml:space="preserve">the most deprived </w:t>
      </w:r>
      <w:r w:rsidR="00186AC3" w:rsidRPr="00A00107">
        <w:t>1</w:t>
      </w:r>
      <w:r w:rsidR="00FB56BA">
        <w:t>0% nationally</w:t>
      </w:r>
      <w:r w:rsidR="00AA65D2">
        <w:t xml:space="preserve"> – although the increases in these two domains have been relatively small</w:t>
      </w:r>
      <w:r w:rsidR="00186AC3" w:rsidRPr="00A00107">
        <w:t xml:space="preserve">. </w:t>
      </w:r>
      <w:r w:rsidR="00884C0E" w:rsidRPr="00A00107">
        <w:t xml:space="preserve"> </w:t>
      </w:r>
      <w:r w:rsidR="00AA65D2">
        <w:t>T</w:t>
      </w:r>
      <w:r w:rsidR="00BF1B2F" w:rsidRPr="00A00107">
        <w:t xml:space="preserve">he </w:t>
      </w:r>
      <w:r w:rsidR="00FB56BA" w:rsidRPr="00FB56BA">
        <w:rPr>
          <w:i/>
        </w:rPr>
        <w:t>h</w:t>
      </w:r>
      <w:r w:rsidR="00BF1B2F" w:rsidRPr="00FB56BA">
        <w:rPr>
          <w:i/>
        </w:rPr>
        <w:t xml:space="preserve">ealth </w:t>
      </w:r>
      <w:r w:rsidR="00FB56BA" w:rsidRPr="00FB56BA">
        <w:rPr>
          <w:i/>
        </w:rPr>
        <w:t>d</w:t>
      </w:r>
      <w:r w:rsidR="00BF1B2F" w:rsidRPr="00FB56BA">
        <w:rPr>
          <w:i/>
        </w:rPr>
        <w:t xml:space="preserve">eprivation and </w:t>
      </w:r>
      <w:r w:rsidR="00FB56BA" w:rsidRPr="00FB56BA">
        <w:rPr>
          <w:i/>
        </w:rPr>
        <w:t>d</w:t>
      </w:r>
      <w:r w:rsidR="00BF1B2F" w:rsidRPr="00FB56BA">
        <w:rPr>
          <w:i/>
        </w:rPr>
        <w:t>isability</w:t>
      </w:r>
      <w:r w:rsidR="00BF1B2F" w:rsidRPr="00A00107">
        <w:t xml:space="preserve"> </w:t>
      </w:r>
      <w:r w:rsidR="00AA65D2">
        <w:t xml:space="preserve">and </w:t>
      </w:r>
      <w:r w:rsidR="00AA65D2" w:rsidRPr="00AA65D2">
        <w:rPr>
          <w:i/>
        </w:rPr>
        <w:t>living environment</w:t>
      </w:r>
      <w:r w:rsidR="00AA65D2">
        <w:t xml:space="preserve"> </w:t>
      </w:r>
      <w:r w:rsidR="00BF1B2F" w:rsidRPr="00A00107">
        <w:t>domain</w:t>
      </w:r>
      <w:r w:rsidR="00AA65D2">
        <w:t>s</w:t>
      </w:r>
      <w:r w:rsidR="00BF1B2F" w:rsidRPr="00A00107">
        <w:t xml:space="preserve"> </w:t>
      </w:r>
      <w:r w:rsidR="00AA65D2">
        <w:t xml:space="preserve">have seen the largest falls in the proportion of LSOAs in </w:t>
      </w:r>
      <w:r w:rsidR="00BF1B2F" w:rsidRPr="00A00107">
        <w:t>the most deprived 10% nationally</w:t>
      </w:r>
      <w:r w:rsidR="0000386B">
        <w:t>.</w:t>
      </w:r>
    </w:p>
    <w:p w:rsidR="00930788" w:rsidRPr="00A00107" w:rsidRDefault="00352E6E" w:rsidP="00930788">
      <w:pPr>
        <w:jc w:val="both"/>
      </w:pPr>
      <w:r>
        <w:rPr>
          <w:noProof/>
          <w:lang w:eastAsia="en-GB"/>
        </w:rPr>
        <w:lastRenderedPageBreak/>
        <w:drawing>
          <wp:anchor distT="0" distB="0" distL="114300" distR="114300" simplePos="0" relativeHeight="251660800" behindDoc="0" locked="0" layoutInCell="1" allowOverlap="1" wp14:anchorId="3A4A01A7" wp14:editId="442E2588">
            <wp:simplePos x="0" y="0"/>
            <wp:positionH relativeFrom="column">
              <wp:posOffset>31115</wp:posOffset>
            </wp:positionH>
            <wp:positionV relativeFrom="paragraph">
              <wp:posOffset>2153285</wp:posOffset>
            </wp:positionV>
            <wp:extent cx="6461125" cy="4219575"/>
            <wp:effectExtent l="0" t="0" r="15875" b="9525"/>
            <wp:wrapTopAndBottom/>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930788">
        <w:t xml:space="preserve">Chart 2 shows </w:t>
      </w:r>
      <w:r w:rsidR="00930788" w:rsidRPr="00A00107">
        <w:t xml:space="preserve">the changes that have occurred in the </w:t>
      </w:r>
      <w:r w:rsidR="00930788" w:rsidRPr="00D963FF">
        <w:rPr>
          <w:i/>
        </w:rPr>
        <w:t>health deprivation and disability</w:t>
      </w:r>
      <w:r w:rsidR="00930788" w:rsidRPr="00A00107">
        <w:t xml:space="preserve"> domain since 2004.</w:t>
      </w:r>
      <w:r w:rsidR="003A4CB0">
        <w:t xml:space="preserve">  </w:t>
      </w:r>
      <w:r w:rsidR="00930788" w:rsidRPr="00A00107">
        <w:t xml:space="preserve">This domain measures poor health, early mortality, and disability for all age groups in an area. Since 2004 the </w:t>
      </w:r>
      <w:r w:rsidR="00930788">
        <w:t>proportion</w:t>
      </w:r>
      <w:r w:rsidR="00930788" w:rsidRPr="00A00107">
        <w:t xml:space="preserve"> of Sandwell LSOAs forming part of </w:t>
      </w:r>
      <w:r w:rsidR="00930788">
        <w:t>the most deprived 10% nationally</w:t>
      </w:r>
      <w:r w:rsidR="00930788" w:rsidRPr="00A00107">
        <w:t xml:space="preserve"> significantly increased from 7.5% in 2004 to over </w:t>
      </w:r>
      <w:r w:rsidR="00930788">
        <w:t>34</w:t>
      </w:r>
      <w:r w:rsidR="00930788" w:rsidRPr="00A00107">
        <w:t>% in 20</w:t>
      </w:r>
      <w:r w:rsidR="00930788">
        <w:t>1</w:t>
      </w:r>
      <w:r w:rsidR="00930788" w:rsidRPr="00A00107">
        <w:t>0</w:t>
      </w:r>
      <w:r w:rsidR="00397167">
        <w:t>, however there has been a substantial fall to 12.9% in 2015</w:t>
      </w:r>
      <w:r w:rsidR="00930788" w:rsidRPr="00A00107">
        <w:t xml:space="preserve">. </w:t>
      </w:r>
      <w:r w:rsidR="00397167">
        <w:t>T</w:t>
      </w:r>
      <w:r w:rsidR="00930788">
        <w:t xml:space="preserve">he proportion </w:t>
      </w:r>
      <w:r w:rsidR="00930788" w:rsidRPr="00A00107">
        <w:t xml:space="preserve">of Sandwell LSOAs belonging to </w:t>
      </w:r>
      <w:r w:rsidR="00930788">
        <w:t>the 10-20% most deprived nationally</w:t>
      </w:r>
      <w:r w:rsidR="00930788" w:rsidRPr="00A00107">
        <w:t xml:space="preserve"> has </w:t>
      </w:r>
      <w:r w:rsidR="00930788">
        <w:t xml:space="preserve">seen a </w:t>
      </w:r>
      <w:r w:rsidR="00397167">
        <w:t>rise</w:t>
      </w:r>
      <w:r w:rsidR="00930788">
        <w:t xml:space="preserve">, </w:t>
      </w:r>
      <w:r w:rsidR="00397167">
        <w:t xml:space="preserve">however </w:t>
      </w:r>
      <w:r w:rsidR="00930788">
        <w:t xml:space="preserve">the proportion overall in the worst 20% has </w:t>
      </w:r>
      <w:r w:rsidR="00397167">
        <w:t>decl</w:t>
      </w:r>
      <w:r w:rsidR="00930788">
        <w:t xml:space="preserve">ined to </w:t>
      </w:r>
      <w:r w:rsidR="00830F3C">
        <w:t>just under half (from 64.7% in 2010)</w:t>
      </w:r>
      <w:r w:rsidR="00930788" w:rsidRPr="00A00107">
        <w:t>. The vast majority (</w:t>
      </w:r>
      <w:r w:rsidR="00830F3C">
        <w:t>7</w:t>
      </w:r>
      <w:r w:rsidR="00930788">
        <w:t>1</w:t>
      </w:r>
      <w:r w:rsidR="00930788" w:rsidRPr="00A00107">
        <w:t xml:space="preserve">%) of Sandwell LSOAs are in the most deprived 30% LSOAs in </w:t>
      </w:r>
      <w:smartTag w:uri="urn:schemas-microsoft-com:office:smarttags" w:element="place">
        <w:smartTag w:uri="urn:schemas-microsoft-com:office:smarttags" w:element="country-region">
          <w:smartTag w:uri="urn:schemas-microsoft-com:office:smarttags" w:element="Street">
            <w:r w:rsidR="00930788" w:rsidRPr="00A00107">
              <w:t>England</w:t>
            </w:r>
          </w:smartTag>
        </w:smartTag>
      </w:smartTag>
      <w:r w:rsidR="00930788" w:rsidRPr="00A00107">
        <w:t xml:space="preserve">. </w:t>
      </w:r>
      <w:r w:rsidR="00930788">
        <w:t>C</w:t>
      </w:r>
      <w:r w:rsidR="00930788" w:rsidRPr="00A00107">
        <w:t xml:space="preserve">hart </w:t>
      </w:r>
      <w:r w:rsidR="00930788">
        <w:t xml:space="preserve">2 </w:t>
      </w:r>
      <w:r w:rsidR="00930788" w:rsidRPr="00A00107">
        <w:t>shows the clear shift</w:t>
      </w:r>
      <w:r w:rsidR="00830F3C">
        <w:t>s</w:t>
      </w:r>
      <w:r w:rsidR="00930788" w:rsidRPr="00A00107">
        <w:t xml:space="preserve"> that ha</w:t>
      </w:r>
      <w:r w:rsidR="00830F3C">
        <w:t>ve</w:t>
      </w:r>
      <w:r w:rsidR="00930788" w:rsidRPr="00A00107">
        <w:t xml:space="preserve"> taken place in this domain since 2004</w:t>
      </w:r>
      <w:r w:rsidR="003A4CB0">
        <w:t xml:space="preserve">, </w:t>
      </w:r>
      <w:r w:rsidR="00830F3C">
        <w:t xml:space="preserve">but </w:t>
      </w:r>
      <w:r w:rsidR="003A4CB0">
        <w:t>with m</w:t>
      </w:r>
      <w:r w:rsidR="00930788" w:rsidRPr="00A00107">
        <w:t xml:space="preserve">any Sandwell LSOAs </w:t>
      </w:r>
      <w:r w:rsidR="00830F3C">
        <w:t>remaining</w:t>
      </w:r>
      <w:r w:rsidR="00930788" w:rsidRPr="00A00107">
        <w:t xml:space="preserve"> in the more deprived national deciles.</w:t>
      </w:r>
    </w:p>
    <w:p w:rsidR="00F44293" w:rsidRPr="009B0B67" w:rsidRDefault="00397167" w:rsidP="00F44293">
      <w:pPr>
        <w:rPr>
          <w:rStyle w:val="FigureCaption"/>
        </w:rPr>
      </w:pPr>
      <w:r>
        <w:rPr>
          <w:rStyle w:val="FigureCaption"/>
        </w:rPr>
        <w:br/>
      </w:r>
      <w:r>
        <w:rPr>
          <w:rStyle w:val="FigureCaption"/>
        </w:rPr>
        <w:br/>
      </w:r>
      <w:r w:rsidR="00F44293" w:rsidRPr="009B0B67">
        <w:rPr>
          <w:rStyle w:val="FigureCaption"/>
        </w:rPr>
        <w:t>Chart 2. Health Deprivation and Disability in Sandwell by national deciles 2004</w:t>
      </w:r>
      <w:r w:rsidR="007E190E">
        <w:rPr>
          <w:rStyle w:val="FigureCaption"/>
        </w:rPr>
        <w:t>, 2007</w:t>
      </w:r>
      <w:r>
        <w:rPr>
          <w:rStyle w:val="FigureCaption"/>
        </w:rPr>
        <w:t xml:space="preserve">, </w:t>
      </w:r>
      <w:r w:rsidR="00F44293" w:rsidRPr="009B0B67">
        <w:rPr>
          <w:rStyle w:val="FigureCaption"/>
        </w:rPr>
        <w:t>20</w:t>
      </w:r>
      <w:r w:rsidR="007E190E">
        <w:rPr>
          <w:rStyle w:val="FigureCaption"/>
        </w:rPr>
        <w:t>1</w:t>
      </w:r>
      <w:r w:rsidR="00F44293" w:rsidRPr="009B0B67">
        <w:rPr>
          <w:rStyle w:val="FigureCaption"/>
        </w:rPr>
        <w:t>0</w:t>
      </w:r>
      <w:r>
        <w:rPr>
          <w:rStyle w:val="FigureCaption"/>
        </w:rPr>
        <w:t xml:space="preserve"> and 2015</w:t>
      </w:r>
      <w:r w:rsidR="00F44293" w:rsidRPr="009B0B67">
        <w:rPr>
          <w:rStyle w:val="FigureCaption"/>
        </w:rPr>
        <w:t>.</w:t>
      </w:r>
      <w:r w:rsidR="00F44293">
        <w:rPr>
          <w:rStyle w:val="FigureCaption"/>
        </w:rPr>
        <w:t xml:space="preserve"> (DCLG).</w:t>
      </w:r>
    </w:p>
    <w:p w:rsidR="00601EEB" w:rsidRDefault="00601EEB" w:rsidP="00601EEB">
      <w:pPr>
        <w:jc w:val="both"/>
      </w:pPr>
    </w:p>
    <w:p w:rsidR="00601EEB" w:rsidRPr="00A00107" w:rsidRDefault="00601EEB" w:rsidP="00601EEB">
      <w:pPr>
        <w:jc w:val="both"/>
      </w:pPr>
      <w:r w:rsidRPr="00A00107">
        <w:t xml:space="preserve">With the growing importance placed on tackling child poverty it is beneficial to have a greater understanding of the </w:t>
      </w:r>
      <w:r>
        <w:rPr>
          <w:i/>
        </w:rPr>
        <w:t>i</w:t>
      </w:r>
      <w:r w:rsidRPr="00F44293">
        <w:rPr>
          <w:i/>
        </w:rPr>
        <w:t xml:space="preserve">ncome </w:t>
      </w:r>
      <w:r>
        <w:rPr>
          <w:i/>
        </w:rPr>
        <w:t>d</w:t>
      </w:r>
      <w:r w:rsidRPr="00F44293">
        <w:rPr>
          <w:i/>
        </w:rPr>
        <w:t xml:space="preserve">eprivation </w:t>
      </w:r>
      <w:r>
        <w:rPr>
          <w:i/>
        </w:rPr>
        <w:t>a</w:t>
      </w:r>
      <w:r w:rsidRPr="00F44293">
        <w:rPr>
          <w:i/>
        </w:rPr>
        <w:t xml:space="preserve">ffecting </w:t>
      </w:r>
      <w:r>
        <w:rPr>
          <w:i/>
        </w:rPr>
        <w:t>c</w:t>
      </w:r>
      <w:r w:rsidRPr="00F44293">
        <w:rPr>
          <w:i/>
        </w:rPr>
        <w:t xml:space="preserve">hildren </w:t>
      </w:r>
      <w:r>
        <w:rPr>
          <w:i/>
        </w:rPr>
        <w:t>i</w:t>
      </w:r>
      <w:r w:rsidRPr="00F44293">
        <w:rPr>
          <w:i/>
        </w:rPr>
        <w:t>ndex</w:t>
      </w:r>
      <w:r w:rsidRPr="00A00107">
        <w:t xml:space="preserve"> for Sandwell.</w:t>
      </w:r>
      <w:r>
        <w:t xml:space="preserve"> </w:t>
      </w:r>
      <w:r w:rsidR="00A9692E">
        <w:t>As can be seen in Chart 3, t</w:t>
      </w:r>
      <w:r w:rsidRPr="00A00107">
        <w:t xml:space="preserve">he percentage of Sandwell LSOAs belonging in </w:t>
      </w:r>
      <w:r>
        <w:t>the most deprived 10% nationally</w:t>
      </w:r>
      <w:r w:rsidRPr="00A00107">
        <w:t xml:space="preserve"> has </w:t>
      </w:r>
      <w:r w:rsidR="00A9692E">
        <w:t>increased</w:t>
      </w:r>
      <w:r w:rsidRPr="00A00107">
        <w:t xml:space="preserve"> since 20</w:t>
      </w:r>
      <w:r w:rsidR="00A9692E">
        <w:t>1</w:t>
      </w:r>
      <w:r w:rsidRPr="00A00107">
        <w:t xml:space="preserve">0, </w:t>
      </w:r>
      <w:r w:rsidR="00A9692E">
        <w:t>and</w:t>
      </w:r>
      <w:r>
        <w:t xml:space="preserve"> at </w:t>
      </w:r>
      <w:r w:rsidR="00A9692E">
        <w:t>22.6</w:t>
      </w:r>
      <w:r>
        <w:t xml:space="preserve">% </w:t>
      </w:r>
      <w:r w:rsidR="00A9692E">
        <w:t xml:space="preserve">is now higher than </w:t>
      </w:r>
      <w:r>
        <w:t>2004 levels</w:t>
      </w:r>
      <w:r w:rsidRPr="00A00107">
        <w:t>. Income deprivation affecting children is a significant problem in a large amount of Sandwell’s LSOAs</w:t>
      </w:r>
      <w:r>
        <w:t xml:space="preserve"> – and since 2004 the proportion of LSOAs overall in </w:t>
      </w:r>
      <w:r w:rsidR="00A9692E">
        <w:t xml:space="preserve">both </w:t>
      </w:r>
      <w:r>
        <w:t>the worst 20% and worst 30% nationally has increased.</w:t>
      </w:r>
      <w:r w:rsidR="00A9692E">
        <w:t xml:space="preserve"> In 2015, almost two-thirds of Sandwell LSOAs fall within the worst 30% nationally.</w:t>
      </w:r>
      <w:r w:rsidRPr="00A00107">
        <w:t xml:space="preserve"> </w:t>
      </w:r>
    </w:p>
    <w:p w:rsidR="00FA5543" w:rsidRDefault="00FA5543" w:rsidP="00D653F1">
      <w:pPr>
        <w:jc w:val="both"/>
      </w:pPr>
    </w:p>
    <w:p w:rsidR="00FA5543" w:rsidRDefault="00352E6E" w:rsidP="00D653F1">
      <w:pPr>
        <w:jc w:val="both"/>
      </w:pPr>
      <w:r>
        <w:rPr>
          <w:noProof/>
          <w:lang w:eastAsia="en-GB"/>
        </w:rPr>
        <w:lastRenderedPageBreak/>
        <w:drawing>
          <wp:anchor distT="0" distB="0" distL="114300" distR="114300" simplePos="0" relativeHeight="251661824" behindDoc="0" locked="0" layoutInCell="1" allowOverlap="1" wp14:anchorId="77C5BED5" wp14:editId="7836D6E7">
            <wp:simplePos x="0" y="0"/>
            <wp:positionH relativeFrom="column">
              <wp:posOffset>2540</wp:posOffset>
            </wp:positionH>
            <wp:positionV relativeFrom="paragraph">
              <wp:posOffset>8255</wp:posOffset>
            </wp:positionV>
            <wp:extent cx="6446520" cy="4210050"/>
            <wp:effectExtent l="0" t="0" r="11430" b="19050"/>
            <wp:wrapTopAndBottom/>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rStyle w:val="FigureCaption"/>
        </w:rPr>
        <w:br/>
      </w:r>
      <w:r w:rsidR="00FA5543" w:rsidRPr="009B0B67">
        <w:rPr>
          <w:rStyle w:val="FigureCaption"/>
        </w:rPr>
        <w:t xml:space="preserve">Chart 3. Income Deprivation Affecting </w:t>
      </w:r>
      <w:r w:rsidR="00FA5543">
        <w:rPr>
          <w:rStyle w:val="FigureCaption"/>
        </w:rPr>
        <w:t>Children</w:t>
      </w:r>
      <w:r w:rsidR="00FA5543" w:rsidRPr="009B0B67">
        <w:rPr>
          <w:rStyle w:val="FigureCaption"/>
        </w:rPr>
        <w:t xml:space="preserve"> Index in Sandwell by national deciles 2004</w:t>
      </w:r>
      <w:r w:rsidR="00FA5543">
        <w:rPr>
          <w:rStyle w:val="FigureCaption"/>
        </w:rPr>
        <w:t>, 2007,</w:t>
      </w:r>
      <w:r w:rsidR="00FA5543" w:rsidRPr="009B0B67">
        <w:rPr>
          <w:rStyle w:val="FigureCaption"/>
        </w:rPr>
        <w:t xml:space="preserve"> 20</w:t>
      </w:r>
      <w:r w:rsidR="00FA5543">
        <w:rPr>
          <w:rStyle w:val="FigureCaption"/>
        </w:rPr>
        <w:t>1</w:t>
      </w:r>
      <w:r w:rsidR="00FA5543" w:rsidRPr="009B0B67">
        <w:rPr>
          <w:rStyle w:val="FigureCaption"/>
        </w:rPr>
        <w:t>0</w:t>
      </w:r>
      <w:r w:rsidR="00FA5543">
        <w:rPr>
          <w:rStyle w:val="FigureCaption"/>
        </w:rPr>
        <w:t xml:space="preserve"> and 2015</w:t>
      </w:r>
      <w:r w:rsidR="00FA5543" w:rsidRPr="009B0B67">
        <w:rPr>
          <w:rStyle w:val="FigureCaption"/>
        </w:rPr>
        <w:t>.</w:t>
      </w:r>
      <w:r w:rsidR="00FA5543">
        <w:rPr>
          <w:rStyle w:val="FigureCaption"/>
        </w:rPr>
        <w:t xml:space="preserve"> (DCLG).</w:t>
      </w:r>
    </w:p>
    <w:p w:rsidR="00352E6E" w:rsidRDefault="00352E6E" w:rsidP="00D653F1">
      <w:pPr>
        <w:jc w:val="both"/>
      </w:pPr>
    </w:p>
    <w:p w:rsidR="00601EEB" w:rsidRDefault="00601EEB" w:rsidP="00D653F1">
      <w:pPr>
        <w:jc w:val="both"/>
      </w:pPr>
      <w:r>
        <w:br/>
      </w:r>
      <w:r w:rsidR="00D653F1">
        <w:t xml:space="preserve">As can be seen in Chart </w:t>
      </w:r>
      <w:r w:rsidR="00FA5543">
        <w:t>4</w:t>
      </w:r>
      <w:r>
        <w:t xml:space="preserve"> overleaf</w:t>
      </w:r>
      <w:r w:rsidR="00D653F1">
        <w:t xml:space="preserve">, there has been some </w:t>
      </w:r>
      <w:r w:rsidR="001F0980">
        <w:t>improvement</w:t>
      </w:r>
      <w:r w:rsidR="00E308CA" w:rsidRPr="00A00107">
        <w:t xml:space="preserve"> </w:t>
      </w:r>
      <w:r w:rsidR="00D653F1">
        <w:t>in</w:t>
      </w:r>
      <w:r w:rsidR="00E308CA" w:rsidRPr="00A00107">
        <w:t xml:space="preserve"> the </w:t>
      </w:r>
      <w:r w:rsidR="00F44293">
        <w:rPr>
          <w:i/>
        </w:rPr>
        <w:t>i</w:t>
      </w:r>
      <w:r w:rsidR="00E308CA" w:rsidRPr="00F44293">
        <w:rPr>
          <w:i/>
        </w:rPr>
        <w:t xml:space="preserve">ncome </w:t>
      </w:r>
      <w:r w:rsidR="00F44293">
        <w:rPr>
          <w:i/>
        </w:rPr>
        <w:t>d</w:t>
      </w:r>
      <w:r w:rsidR="00E308CA" w:rsidRPr="00F44293">
        <w:rPr>
          <w:i/>
        </w:rPr>
        <w:t xml:space="preserve">eprivation </w:t>
      </w:r>
      <w:r w:rsidR="00F44293">
        <w:rPr>
          <w:i/>
        </w:rPr>
        <w:t>a</w:t>
      </w:r>
      <w:r w:rsidR="00E308CA" w:rsidRPr="00F44293">
        <w:rPr>
          <w:i/>
        </w:rPr>
        <w:t xml:space="preserve">ffecting </w:t>
      </w:r>
      <w:r w:rsidR="00F44293">
        <w:rPr>
          <w:i/>
        </w:rPr>
        <w:t>o</w:t>
      </w:r>
      <w:r w:rsidR="00E308CA" w:rsidRPr="00F44293">
        <w:rPr>
          <w:i/>
        </w:rPr>
        <w:t xml:space="preserve">lder </w:t>
      </w:r>
      <w:r w:rsidR="00F44293">
        <w:rPr>
          <w:i/>
        </w:rPr>
        <w:t>p</w:t>
      </w:r>
      <w:r w:rsidR="00E308CA" w:rsidRPr="00F44293">
        <w:rPr>
          <w:i/>
        </w:rPr>
        <w:t xml:space="preserve">eople </w:t>
      </w:r>
      <w:r w:rsidR="00F44293">
        <w:rPr>
          <w:i/>
        </w:rPr>
        <w:t>i</w:t>
      </w:r>
      <w:r w:rsidR="00E308CA" w:rsidRPr="00F44293">
        <w:rPr>
          <w:i/>
        </w:rPr>
        <w:t>ndex</w:t>
      </w:r>
      <w:r w:rsidR="00E308CA" w:rsidRPr="00A00107">
        <w:t>.</w:t>
      </w:r>
      <w:r w:rsidR="00C72C21" w:rsidRPr="00A00107">
        <w:t xml:space="preserve"> </w:t>
      </w:r>
      <w:r w:rsidR="00D653F1" w:rsidRPr="00A00107">
        <w:t xml:space="preserve">The percentage of Sandwell LSOAs belonging in </w:t>
      </w:r>
      <w:r w:rsidR="00D653F1">
        <w:t>the most deprived 10% nationally</w:t>
      </w:r>
      <w:r w:rsidR="00D653F1" w:rsidRPr="00A00107">
        <w:t xml:space="preserve"> has </w:t>
      </w:r>
      <w:r w:rsidR="001F0980">
        <w:t xml:space="preserve">fallen considerably </w:t>
      </w:r>
      <w:r w:rsidR="00D653F1" w:rsidRPr="00A00107">
        <w:t>since 20</w:t>
      </w:r>
      <w:r w:rsidR="001F0980">
        <w:t>10</w:t>
      </w:r>
      <w:r w:rsidR="00D653F1" w:rsidRPr="00A00107">
        <w:t xml:space="preserve">, </w:t>
      </w:r>
      <w:r w:rsidR="001F0980">
        <w:t xml:space="preserve">and is now even lower than  the levels reported in 2004.  However, a quarter of Sandwell LSOAs remain in the worst 10% nationally.  Despite the falls in the worst 10% and 20%, there has been a rise in the proportion of LSOAs </w:t>
      </w:r>
      <w:r w:rsidR="004E5980">
        <w:t xml:space="preserve">overall </w:t>
      </w:r>
      <w:r w:rsidR="001F0980">
        <w:t xml:space="preserve">in the worst 30% nationally between 2004 and 2015, with over 75% of Sandwell LSOAs now within the worst 30%.  </w:t>
      </w:r>
      <w:r w:rsidR="000A55DB">
        <w:t xml:space="preserve"> </w:t>
      </w:r>
    </w:p>
    <w:p w:rsidR="00AF2BD8" w:rsidRPr="00A00107" w:rsidRDefault="00AF2BD8" w:rsidP="00A00107"/>
    <w:p w:rsidR="00FA5543" w:rsidRDefault="00FA5543">
      <w:pPr>
        <w:spacing w:after="0"/>
      </w:pPr>
      <w:r>
        <w:br w:type="page"/>
      </w:r>
    </w:p>
    <w:p w:rsidR="00F44293" w:rsidRPr="009B0B67" w:rsidRDefault="00FA5543" w:rsidP="00F44293">
      <w:pPr>
        <w:rPr>
          <w:rStyle w:val="FigureCaption"/>
        </w:rPr>
      </w:pPr>
      <w:r>
        <w:rPr>
          <w:noProof/>
          <w:lang w:eastAsia="en-GB"/>
        </w:rPr>
        <w:lastRenderedPageBreak/>
        <w:drawing>
          <wp:anchor distT="0" distB="0" distL="114300" distR="114300" simplePos="0" relativeHeight="251662848" behindDoc="0" locked="0" layoutInCell="1" allowOverlap="1" wp14:anchorId="21866001" wp14:editId="3B1DC90D">
            <wp:simplePos x="0" y="0"/>
            <wp:positionH relativeFrom="column">
              <wp:posOffset>59690</wp:posOffset>
            </wp:positionH>
            <wp:positionV relativeFrom="paragraph">
              <wp:posOffset>67310</wp:posOffset>
            </wp:positionV>
            <wp:extent cx="6242685" cy="4076700"/>
            <wp:effectExtent l="0" t="0" r="24765" b="19050"/>
            <wp:wrapTopAndBottom/>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rStyle w:val="FigureCaption"/>
        </w:rPr>
        <w:br/>
      </w:r>
      <w:r w:rsidR="00F44293" w:rsidRPr="009B0B67">
        <w:rPr>
          <w:rStyle w:val="FigureCaption"/>
        </w:rPr>
        <w:t xml:space="preserve">Chart </w:t>
      </w:r>
      <w:r>
        <w:rPr>
          <w:rStyle w:val="FigureCaption"/>
        </w:rPr>
        <w:t>4</w:t>
      </w:r>
      <w:r w:rsidR="00F44293" w:rsidRPr="009B0B67">
        <w:rPr>
          <w:rStyle w:val="FigureCaption"/>
        </w:rPr>
        <w:t xml:space="preserve">. Income Deprivation Affecting </w:t>
      </w:r>
      <w:r w:rsidR="004D3DC5">
        <w:rPr>
          <w:rStyle w:val="FigureCaption"/>
        </w:rPr>
        <w:t>Older People</w:t>
      </w:r>
      <w:r w:rsidR="00F44293" w:rsidRPr="009B0B67">
        <w:rPr>
          <w:rStyle w:val="FigureCaption"/>
        </w:rPr>
        <w:t xml:space="preserve"> Index in Sandwell by national deciles 2004</w:t>
      </w:r>
      <w:r w:rsidR="004D3DC5">
        <w:rPr>
          <w:rStyle w:val="FigureCaption"/>
        </w:rPr>
        <w:t>, 2007</w:t>
      </w:r>
      <w:r>
        <w:rPr>
          <w:rStyle w:val="FigureCaption"/>
        </w:rPr>
        <w:t xml:space="preserve">, </w:t>
      </w:r>
      <w:r w:rsidR="00F44293" w:rsidRPr="009B0B67">
        <w:rPr>
          <w:rStyle w:val="FigureCaption"/>
        </w:rPr>
        <w:t>20</w:t>
      </w:r>
      <w:r w:rsidR="004D3DC5">
        <w:rPr>
          <w:rStyle w:val="FigureCaption"/>
        </w:rPr>
        <w:t>1</w:t>
      </w:r>
      <w:r w:rsidR="00F44293" w:rsidRPr="009B0B67">
        <w:rPr>
          <w:rStyle w:val="FigureCaption"/>
        </w:rPr>
        <w:t>0</w:t>
      </w:r>
      <w:r>
        <w:rPr>
          <w:rStyle w:val="FigureCaption"/>
        </w:rPr>
        <w:t xml:space="preserve"> and 2015</w:t>
      </w:r>
      <w:r w:rsidR="00F44293" w:rsidRPr="009B0B67">
        <w:rPr>
          <w:rStyle w:val="FigureCaption"/>
        </w:rPr>
        <w:t>.</w:t>
      </w:r>
      <w:r w:rsidR="00F44293">
        <w:rPr>
          <w:rStyle w:val="FigureCaption"/>
        </w:rPr>
        <w:t xml:space="preserve"> (DCLG).</w:t>
      </w:r>
      <w:r w:rsidR="00F44293" w:rsidRPr="009B0B67">
        <w:rPr>
          <w:rStyle w:val="FigureCaption"/>
        </w:rPr>
        <w:t xml:space="preserve"> </w:t>
      </w:r>
    </w:p>
    <w:p w:rsidR="007F16C6" w:rsidRPr="007F16C6" w:rsidRDefault="007F16C6" w:rsidP="009B0B67">
      <w:pPr>
        <w:pStyle w:val="Heading2"/>
      </w:pPr>
    </w:p>
    <w:p w:rsidR="00DD5517" w:rsidRPr="00A00107" w:rsidRDefault="005B09DB" w:rsidP="009B0B67">
      <w:pPr>
        <w:pStyle w:val="Heading2"/>
      </w:pPr>
      <w:r w:rsidRPr="00A00107">
        <w:t>Deprivation in Sandwell Towns</w:t>
      </w:r>
    </w:p>
    <w:p w:rsidR="00CE2E50" w:rsidRPr="00A00107" w:rsidRDefault="00C21E24" w:rsidP="001E13A2">
      <w:pPr>
        <w:jc w:val="both"/>
      </w:pPr>
      <w:r>
        <w:t xml:space="preserve">There is variation across the six towns for most of the </w:t>
      </w:r>
      <w:r w:rsidR="00154B3C" w:rsidRPr="00A00107">
        <w:t>deprivation</w:t>
      </w:r>
      <w:r>
        <w:t xml:space="preserve"> domains.  In terms of the </w:t>
      </w:r>
      <w:r w:rsidR="00007C32" w:rsidRPr="00007C32">
        <w:rPr>
          <w:i/>
        </w:rPr>
        <w:t>employment</w:t>
      </w:r>
      <w:r w:rsidR="00007C32">
        <w:t xml:space="preserve"> </w:t>
      </w:r>
      <w:r>
        <w:t xml:space="preserve">domain, Oldbury fairs much better than the other towns, with only </w:t>
      </w:r>
      <w:r w:rsidR="004622CE">
        <w:t>3.6</w:t>
      </w:r>
      <w:r>
        <w:t xml:space="preserve">% of its LSOAs in the worst 10% nationally. Whilst in the </w:t>
      </w:r>
      <w:r w:rsidRPr="00FB56BA">
        <w:rPr>
          <w:i/>
        </w:rPr>
        <w:t>health deprivation and disability</w:t>
      </w:r>
      <w:r>
        <w:t xml:space="preserve"> domain </w:t>
      </w:r>
      <w:r w:rsidR="00007C32">
        <w:t>almost 40% of</w:t>
      </w:r>
      <w:r>
        <w:t xml:space="preserve"> Tipton’s LSOAs fall in the worst 10%, compared with </w:t>
      </w:r>
      <w:r w:rsidR="00007C32">
        <w:t xml:space="preserve">none </w:t>
      </w:r>
      <w:r>
        <w:t xml:space="preserve">of those in </w:t>
      </w:r>
      <w:r w:rsidR="00007C32">
        <w:t>Oldbury and Wednesbury</w:t>
      </w:r>
      <w:r>
        <w:t xml:space="preserve">. </w:t>
      </w:r>
      <w:r w:rsidR="00007C32">
        <w:t xml:space="preserve">Tipton </w:t>
      </w:r>
      <w:bookmarkStart w:id="0" w:name="_GoBack"/>
      <w:bookmarkEnd w:id="0"/>
      <w:r w:rsidR="00007C32">
        <w:t xml:space="preserve">also fairs badly on the </w:t>
      </w:r>
      <w:r w:rsidR="00007C32" w:rsidRPr="00007C32">
        <w:rPr>
          <w:i/>
        </w:rPr>
        <w:t>Income</w:t>
      </w:r>
      <w:r w:rsidR="00007C32">
        <w:t xml:space="preserve"> domain – half of the LSOAs in the town are within the worst 10% nationally. </w:t>
      </w:r>
      <w:r>
        <w:t xml:space="preserve">In the </w:t>
      </w:r>
      <w:r w:rsidRPr="00C21E24">
        <w:rPr>
          <w:i/>
        </w:rPr>
        <w:t>education, skills and training</w:t>
      </w:r>
      <w:r>
        <w:t xml:space="preserve"> domain, </w:t>
      </w:r>
      <w:r w:rsidR="00007C32">
        <w:t>over 60%</w:t>
      </w:r>
      <w:r>
        <w:t xml:space="preserve"> of LSOAs in Tipton and </w:t>
      </w:r>
      <w:r w:rsidR="00007C32">
        <w:t>Wednesbury</w:t>
      </w:r>
      <w:r>
        <w:t xml:space="preserve"> fall in the worst </w:t>
      </w:r>
      <w:r w:rsidR="001E13A2">
        <w:t>2</w:t>
      </w:r>
      <w:r>
        <w:t xml:space="preserve">0% nationally, compared with only around </w:t>
      </w:r>
      <w:r w:rsidR="00007C32">
        <w:t>4</w:t>
      </w:r>
      <w:r>
        <w:t xml:space="preserve">0% in Oldbury and </w:t>
      </w:r>
      <w:smartTag w:uri="urn:schemas-microsoft-com:office:smarttags" w:element="place">
        <w:r>
          <w:t>West Bromwich</w:t>
        </w:r>
      </w:smartTag>
      <w:r>
        <w:t>.  However, as in 2007</w:t>
      </w:r>
      <w:r w:rsidR="000B2186">
        <w:t xml:space="preserve"> and 2010</w:t>
      </w:r>
      <w:r>
        <w:t>, t</w:t>
      </w:r>
      <w:r w:rsidRPr="00A00107">
        <w:t xml:space="preserve">here is little extreme deprivation in the </w:t>
      </w:r>
      <w:r w:rsidRPr="004E7F98">
        <w:rPr>
          <w:i/>
        </w:rPr>
        <w:t>barriers to housing and services</w:t>
      </w:r>
      <w:r w:rsidRPr="00A00107">
        <w:t xml:space="preserve">, and </w:t>
      </w:r>
      <w:r w:rsidRPr="004E7F98">
        <w:rPr>
          <w:i/>
        </w:rPr>
        <w:t>crime and disorder</w:t>
      </w:r>
      <w:r w:rsidRPr="00A00107">
        <w:t xml:space="preserve"> domains. </w:t>
      </w:r>
    </w:p>
    <w:p w:rsidR="005C38AE" w:rsidRDefault="00601EEB" w:rsidP="00601EEB">
      <w:pPr>
        <w:jc w:val="both"/>
      </w:pPr>
      <w:r>
        <w:t xml:space="preserve">Chart </w:t>
      </w:r>
      <w:r w:rsidR="00352E6E">
        <w:t>5</w:t>
      </w:r>
      <w:r>
        <w:t xml:space="preserve"> overleaf </w:t>
      </w:r>
      <w:r w:rsidRPr="00A00107">
        <w:t xml:space="preserve">shows the percentages of LSOAs in each national decile for the </w:t>
      </w:r>
      <w:r>
        <w:t xml:space="preserve">overall </w:t>
      </w:r>
      <w:r w:rsidRPr="00A00107">
        <w:t xml:space="preserve">IMD. It can be seen that </w:t>
      </w:r>
      <w:r w:rsidR="000B2186">
        <w:t>Tipton</w:t>
      </w:r>
      <w:r>
        <w:t xml:space="preserve"> has </w:t>
      </w:r>
      <w:r w:rsidR="000B2186">
        <w:t xml:space="preserve">by far </w:t>
      </w:r>
      <w:r w:rsidRPr="00A00107">
        <w:t>the highest proportion of its LSOAs in the most deprived decile for the IMD 20</w:t>
      </w:r>
      <w:r>
        <w:t>1</w:t>
      </w:r>
      <w:r w:rsidR="000B2186">
        <w:t>5</w:t>
      </w:r>
      <w:r w:rsidR="00FA3F5D">
        <w:t>, 52%</w:t>
      </w:r>
      <w:r w:rsidR="000B2186">
        <w:t xml:space="preserve"> compared </w:t>
      </w:r>
      <w:r w:rsidR="004622CE">
        <w:t>to none</w:t>
      </w:r>
      <w:r w:rsidR="000B2186">
        <w:t xml:space="preserve"> in Oldbury</w:t>
      </w:r>
      <w:r w:rsidRPr="00A00107">
        <w:t>.</w:t>
      </w:r>
      <w:r w:rsidR="000B2186">
        <w:t xml:space="preserve"> </w:t>
      </w:r>
      <w:r w:rsidRPr="00A00107">
        <w:t xml:space="preserve"> </w:t>
      </w:r>
      <w:r>
        <w:t xml:space="preserve">When you consider the proportion of LSOAs in the 30% most deprived nationally, </w:t>
      </w:r>
      <w:r w:rsidRPr="00A00107">
        <w:t xml:space="preserve">Wednesbury </w:t>
      </w:r>
      <w:r>
        <w:t>ha</w:t>
      </w:r>
      <w:r w:rsidRPr="00A00107">
        <w:t xml:space="preserve">s </w:t>
      </w:r>
      <w:r>
        <w:t xml:space="preserve">by far </w:t>
      </w:r>
      <w:r w:rsidRPr="00A00107">
        <w:t xml:space="preserve">the </w:t>
      </w:r>
      <w:r>
        <w:t xml:space="preserve">highest proportion at </w:t>
      </w:r>
      <w:r w:rsidRPr="00A00107">
        <w:t>9</w:t>
      </w:r>
      <w:r w:rsidR="000B2186">
        <w:t>2</w:t>
      </w:r>
      <w:r w:rsidRPr="00A00107">
        <w:t>%</w:t>
      </w:r>
      <w:r>
        <w:t>,</w:t>
      </w:r>
      <w:r w:rsidRPr="00A00107">
        <w:t xml:space="preserve"> </w:t>
      </w:r>
      <w:r>
        <w:t xml:space="preserve">compared with </w:t>
      </w:r>
      <w:r w:rsidR="005C38AE">
        <w:t>60</w:t>
      </w:r>
      <w:r>
        <w:t xml:space="preserve">% of LSOAs in Oldbury.  </w:t>
      </w:r>
    </w:p>
    <w:p w:rsidR="000B2186" w:rsidRDefault="000B2186" w:rsidP="00601EEB">
      <w:pPr>
        <w:jc w:val="both"/>
      </w:pPr>
      <w:r>
        <w:t xml:space="preserve">None of Sandwell’s towns have any LSOAs in the </w:t>
      </w:r>
      <w:r w:rsidRPr="000B2186">
        <w:rPr>
          <w:u w:val="single"/>
        </w:rPr>
        <w:t>least</w:t>
      </w:r>
      <w:r>
        <w:t xml:space="preserve"> deprived 10% nationally. Only Rowley Regis has LSOAs in the least deprived 20% nationally, and only Rowley Regis and West Bromwich have LSOAs in the least deprived 30%.</w:t>
      </w:r>
    </w:p>
    <w:p w:rsidR="00A837F4" w:rsidRPr="00A00107" w:rsidRDefault="00A837F4" w:rsidP="00A00107"/>
    <w:p w:rsidR="004E7F98" w:rsidRPr="009B0B67" w:rsidRDefault="00B768EB" w:rsidP="004E7F98">
      <w:pPr>
        <w:rPr>
          <w:rStyle w:val="FigureCaption"/>
        </w:rPr>
      </w:pPr>
      <w:r>
        <w:rPr>
          <w:i/>
          <w:iCs/>
          <w:noProof/>
          <w:sz w:val="20"/>
          <w:lang w:eastAsia="en-GB"/>
        </w:rPr>
        <w:lastRenderedPageBreak/>
        <w:drawing>
          <wp:inline distT="0" distB="0" distL="0" distR="0" wp14:anchorId="3ED7D143" wp14:editId="7883C736">
            <wp:extent cx="6303645" cy="440182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3645" cy="4401820"/>
                    </a:xfrm>
                    <a:prstGeom prst="rect">
                      <a:avLst/>
                    </a:prstGeom>
                    <a:noFill/>
                  </pic:spPr>
                </pic:pic>
              </a:graphicData>
            </a:graphic>
          </wp:inline>
        </w:drawing>
      </w:r>
      <w:r w:rsidR="00352E6E">
        <w:rPr>
          <w:rStyle w:val="FigureCaption"/>
        </w:rPr>
        <w:br/>
      </w:r>
      <w:r w:rsidR="004E7F98" w:rsidRPr="009B0B67">
        <w:rPr>
          <w:rStyle w:val="FigureCaption"/>
        </w:rPr>
        <w:t xml:space="preserve">Chart </w:t>
      </w:r>
      <w:r w:rsidR="00FA5543">
        <w:rPr>
          <w:rStyle w:val="FigureCaption"/>
        </w:rPr>
        <w:t>5</w:t>
      </w:r>
      <w:r w:rsidR="004E7F98" w:rsidRPr="009B0B67">
        <w:rPr>
          <w:rStyle w:val="FigureCaption"/>
        </w:rPr>
        <w:t>. Sandwell towns IMD by National Deciles 20</w:t>
      </w:r>
      <w:r w:rsidR="00B00513">
        <w:rPr>
          <w:rStyle w:val="FigureCaption"/>
        </w:rPr>
        <w:t>1</w:t>
      </w:r>
      <w:r w:rsidR="001A6981">
        <w:rPr>
          <w:rStyle w:val="FigureCaption"/>
        </w:rPr>
        <w:t>5</w:t>
      </w:r>
      <w:r w:rsidR="004E7F98" w:rsidRPr="009B0B67">
        <w:rPr>
          <w:rStyle w:val="FigureCaption"/>
        </w:rPr>
        <w:t>.</w:t>
      </w:r>
      <w:r w:rsidR="004E7F98">
        <w:rPr>
          <w:rStyle w:val="FigureCaption"/>
        </w:rPr>
        <w:t xml:space="preserve"> (DCLG, 20</w:t>
      </w:r>
      <w:r w:rsidR="00B00513">
        <w:rPr>
          <w:rStyle w:val="FigureCaption"/>
        </w:rPr>
        <w:t>1</w:t>
      </w:r>
      <w:r w:rsidR="001A6981">
        <w:rPr>
          <w:rStyle w:val="FigureCaption"/>
        </w:rPr>
        <w:t>5</w:t>
      </w:r>
      <w:r w:rsidR="004E7F98">
        <w:rPr>
          <w:rStyle w:val="FigureCaption"/>
        </w:rPr>
        <w:t>)</w:t>
      </w:r>
    </w:p>
    <w:p w:rsidR="00C93A24" w:rsidRDefault="00C93A24" w:rsidP="00A00107"/>
    <w:p w:rsidR="00C93A24" w:rsidRPr="00A00107" w:rsidRDefault="00C93A24" w:rsidP="009B0B67">
      <w:pPr>
        <w:pStyle w:val="Heading2"/>
      </w:pPr>
      <w:r w:rsidRPr="00A00107">
        <w:t>Further Analysis</w:t>
      </w:r>
    </w:p>
    <w:p w:rsidR="00911BCD" w:rsidRPr="00A00107" w:rsidRDefault="00592755" w:rsidP="001E0AEC">
      <w:pPr>
        <w:jc w:val="both"/>
      </w:pPr>
      <w:r>
        <w:t>More analysis including a</w:t>
      </w:r>
      <w:r w:rsidR="00F02F89">
        <w:t xml:space="preserve"> summary </w:t>
      </w:r>
      <w:r w:rsidR="00D53A02">
        <w:t>briefing note</w:t>
      </w:r>
      <w:r w:rsidR="00F02F89">
        <w:t xml:space="preserve"> is </w:t>
      </w:r>
      <w:r w:rsidR="00D53A02">
        <w:t xml:space="preserve">available </w:t>
      </w:r>
      <w:r>
        <w:t xml:space="preserve">from the Indices of Deprivation page of </w:t>
      </w:r>
      <w:hyperlink r:id="rId16" w:history="1">
        <w:r w:rsidR="00F02F89" w:rsidRPr="007764EE">
          <w:rPr>
            <w:rStyle w:val="Hyperlink"/>
          </w:rPr>
          <w:t>Sandwell Trends</w:t>
        </w:r>
      </w:hyperlink>
      <w:r w:rsidR="00D53A02">
        <w:t>.</w:t>
      </w:r>
      <w:r w:rsidR="00733199" w:rsidRPr="00A00107">
        <w:t xml:space="preserve"> </w:t>
      </w:r>
      <w:r w:rsidR="009D6A07" w:rsidRPr="00A00107">
        <w:t xml:space="preserve"> </w:t>
      </w:r>
      <w:r w:rsidR="00E2147D" w:rsidRPr="00A00107">
        <w:t xml:space="preserve"> </w:t>
      </w:r>
    </w:p>
    <w:p w:rsidR="00856E49" w:rsidRDefault="00856E49" w:rsidP="00A00107"/>
    <w:p w:rsidR="00856E49" w:rsidRDefault="00856E49" w:rsidP="00A00107"/>
    <w:p w:rsidR="00352E6E" w:rsidRDefault="00352E6E" w:rsidP="00A00107"/>
    <w:p w:rsidR="00C4192F" w:rsidRPr="00641D4C" w:rsidRDefault="00087280" w:rsidP="002B09E2">
      <w:pPr>
        <w:rPr>
          <w:sz w:val="20"/>
          <w:szCs w:val="20"/>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155575</wp:posOffset>
                </wp:positionV>
                <wp:extent cx="6172200" cy="0"/>
                <wp:effectExtent l="9525" t="12700" r="9525" b="635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5pt" to="48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o9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h6yEN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"/>
            </w:pict>
          </mc:Fallback>
        </mc:AlternateContent>
      </w:r>
    </w:p>
    <w:p w:rsidR="00C4192F" w:rsidRPr="00641D4C" w:rsidRDefault="00C4192F" w:rsidP="009B0B67">
      <w:pPr>
        <w:pStyle w:val="Densetext"/>
        <w:rPr>
          <w:b/>
          <w:sz w:val="20"/>
          <w:szCs w:val="20"/>
        </w:rPr>
      </w:pPr>
      <w:r w:rsidRPr="00641D4C">
        <w:rPr>
          <w:b/>
          <w:sz w:val="20"/>
          <w:szCs w:val="20"/>
        </w:rPr>
        <w:t>Research Sandwell</w:t>
      </w:r>
    </w:p>
    <w:p w:rsidR="00641D4C" w:rsidRPr="00641D4C" w:rsidRDefault="00422B00" w:rsidP="009B0B67">
      <w:pPr>
        <w:pStyle w:val="Densetext"/>
        <w:rPr>
          <w:sz w:val="20"/>
          <w:szCs w:val="20"/>
        </w:rPr>
      </w:pPr>
      <w:r>
        <w:rPr>
          <w:sz w:val="20"/>
          <w:szCs w:val="20"/>
        </w:rPr>
        <w:t>6</w:t>
      </w:r>
      <w:r w:rsidR="001E0AEC" w:rsidRPr="001E0AEC">
        <w:rPr>
          <w:sz w:val="20"/>
          <w:szCs w:val="20"/>
          <w:vertAlign w:val="superscript"/>
        </w:rPr>
        <w:t>th</w:t>
      </w:r>
      <w:r w:rsidR="001E0AEC">
        <w:rPr>
          <w:sz w:val="20"/>
          <w:szCs w:val="20"/>
        </w:rPr>
        <w:t xml:space="preserve"> </w:t>
      </w:r>
      <w:r>
        <w:rPr>
          <w:sz w:val="20"/>
          <w:szCs w:val="20"/>
        </w:rPr>
        <w:t>June</w:t>
      </w:r>
      <w:r w:rsidR="00641D4C" w:rsidRPr="00641D4C">
        <w:rPr>
          <w:sz w:val="20"/>
          <w:szCs w:val="20"/>
        </w:rPr>
        <w:t xml:space="preserve"> 201</w:t>
      </w:r>
      <w:r w:rsidR="002B09E2">
        <w:rPr>
          <w:sz w:val="20"/>
          <w:szCs w:val="20"/>
        </w:rPr>
        <w:t>8</w:t>
      </w:r>
    </w:p>
    <w:p w:rsidR="00C4192F" w:rsidRPr="00641D4C" w:rsidRDefault="00087280" w:rsidP="00A00107">
      <w:pPr>
        <w:rPr>
          <w:sz w:val="20"/>
          <w:szCs w:val="20"/>
        </w:rPr>
      </w:pPr>
      <w:r>
        <w:rPr>
          <w:noProof/>
          <w:sz w:val="20"/>
          <w:szCs w:val="20"/>
          <w:lang w:eastAsia="en-GB"/>
        </w:rPr>
        <w:drawing>
          <wp:inline distT="0" distB="0" distL="0" distR="0">
            <wp:extent cx="2857500" cy="609600"/>
            <wp:effectExtent l="0" t="0" r="0" b="0"/>
            <wp:docPr id="4" name="Picture 4" descr="RESEARCH SANDWELL strip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EARCH SANDWELL strip_logo_colou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609600"/>
                    </a:xfrm>
                    <a:prstGeom prst="rect">
                      <a:avLst/>
                    </a:prstGeom>
                    <a:noFill/>
                    <a:ln>
                      <a:noFill/>
                    </a:ln>
                  </pic:spPr>
                </pic:pic>
              </a:graphicData>
            </a:graphic>
          </wp:inline>
        </w:drawing>
      </w:r>
    </w:p>
    <w:p w:rsidR="00641D4C" w:rsidRPr="00A00107" w:rsidRDefault="007426D3" w:rsidP="00641D4C">
      <w:pPr>
        <w:spacing w:after="0"/>
      </w:pPr>
      <w:hyperlink r:id="rId18" w:history="1">
        <w:r w:rsidR="00641D4C" w:rsidRPr="00641D4C">
          <w:rPr>
            <w:rStyle w:val="Hyperlink"/>
            <w:sz w:val="20"/>
            <w:szCs w:val="20"/>
          </w:rPr>
          <w:t>www.sandwelltrends.info</w:t>
        </w:r>
      </w:hyperlink>
      <w:r w:rsidR="00641D4C">
        <w:t xml:space="preserve"> </w:t>
      </w:r>
    </w:p>
    <w:sectPr w:rsidR="00641D4C" w:rsidRPr="00A00107" w:rsidSect="00C046F7">
      <w:headerReference w:type="default" r:id="rId19"/>
      <w:footerReference w:type="even" r:id="rId20"/>
      <w:footerReference w:type="default" r:id="rId21"/>
      <w:headerReference w:type="first" r:id="rId22"/>
      <w:pgSz w:w="11906" w:h="16838"/>
      <w:pgMar w:top="851"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6D3" w:rsidRDefault="007426D3">
      <w:r>
        <w:separator/>
      </w:r>
    </w:p>
  </w:endnote>
  <w:endnote w:type="continuationSeparator" w:id="0">
    <w:p w:rsidR="007426D3" w:rsidRDefault="0074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D3" w:rsidRDefault="00742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26D3" w:rsidRDefault="007426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D3" w:rsidRDefault="00742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7F4C">
      <w:rPr>
        <w:rStyle w:val="PageNumber"/>
        <w:noProof/>
      </w:rPr>
      <w:t>9</w:t>
    </w:r>
    <w:r>
      <w:rPr>
        <w:rStyle w:val="PageNumber"/>
      </w:rPr>
      <w:fldChar w:fldCharType="end"/>
    </w:r>
  </w:p>
  <w:p w:rsidR="007426D3" w:rsidRDefault="007426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6D3" w:rsidRDefault="007426D3">
      <w:r>
        <w:separator/>
      </w:r>
    </w:p>
  </w:footnote>
  <w:footnote w:type="continuationSeparator" w:id="0">
    <w:p w:rsidR="007426D3" w:rsidRDefault="007426D3">
      <w:r>
        <w:continuationSeparator/>
      </w:r>
    </w:p>
  </w:footnote>
  <w:footnote w:id="1">
    <w:p w:rsidR="007426D3" w:rsidRDefault="007426D3">
      <w:pPr>
        <w:pStyle w:val="FootnoteText"/>
      </w:pPr>
      <w:r>
        <w:rPr>
          <w:rStyle w:val="FootnoteReference"/>
        </w:rPr>
        <w:footnoteRef/>
      </w:r>
      <w:r>
        <w:t xml:space="preserve"> LSOA- are areas with between 1,095 and 2,757 people in Sandwell in the 2011 Census and Sandwell has 186 LSOA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D3" w:rsidRDefault="007426D3" w:rsidP="00882261">
    <w:pPr>
      <w:pStyle w:val="Header"/>
      <w:rPr>
        <w:b/>
        <w:bCs/>
        <w:i/>
        <w:iCs/>
      </w:rPr>
    </w:pPr>
    <w:r>
      <w:rPr>
        <w:b/>
        <w:bCs/>
        <w:i/>
        <w:iCs/>
        <w:noProof/>
        <w:lang w:eastAsia="en-GB"/>
      </w:rPr>
      <w:drawing>
        <wp:anchor distT="0" distB="0" distL="114300" distR="114300" simplePos="0" relativeHeight="251657216" behindDoc="0" locked="0" layoutInCell="1" allowOverlap="1" wp14:anchorId="66471FC8" wp14:editId="519B2887">
          <wp:simplePos x="0" y="0"/>
          <wp:positionH relativeFrom="column">
            <wp:posOffset>3886200</wp:posOffset>
          </wp:positionH>
          <wp:positionV relativeFrom="paragraph">
            <wp:posOffset>-138430</wp:posOffset>
          </wp:positionV>
          <wp:extent cx="2571750" cy="342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rPr>
      <w:t>Indices of Deprivation: Sandwell 2015</w:t>
    </w:r>
  </w:p>
  <w:p w:rsidR="007426D3" w:rsidRDefault="007426D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D3" w:rsidRPr="00A05446" w:rsidRDefault="007426D3" w:rsidP="00A05446">
    <w:pPr>
      <w:pStyle w:val="Header"/>
      <w:tabs>
        <w:tab w:val="clear" w:pos="4153"/>
        <w:tab w:val="clear" w:pos="8306"/>
        <w:tab w:val="left" w:pos="360"/>
        <w:tab w:val="right" w:pos="9900"/>
      </w:tabs>
      <w:rPr>
        <w:sz w:val="18"/>
        <w:szCs w:val="18"/>
      </w:rPr>
    </w:pPr>
    <w:r>
      <w:rPr>
        <w:noProof/>
        <w:sz w:val="18"/>
        <w:szCs w:val="18"/>
        <w:lang w:eastAsia="en-GB"/>
      </w:rPr>
      <w:drawing>
        <wp:anchor distT="0" distB="0" distL="114300" distR="114300" simplePos="0" relativeHeight="251658240" behindDoc="0" locked="0" layoutInCell="1" allowOverlap="0" wp14:anchorId="486E99F6" wp14:editId="561540D1">
          <wp:simplePos x="0" y="0"/>
          <wp:positionH relativeFrom="column">
            <wp:posOffset>-914400</wp:posOffset>
          </wp:positionH>
          <wp:positionV relativeFrom="paragraph">
            <wp:posOffset>-481330</wp:posOffset>
          </wp:positionV>
          <wp:extent cx="7957185" cy="2751455"/>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7185" cy="275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6D3" w:rsidRPr="00A05446" w:rsidRDefault="007426D3">
    <w:pPr>
      <w:pStyle w:val="Header"/>
      <w:rPr>
        <w:sz w:val="18"/>
        <w:szCs w:val="18"/>
      </w:rPr>
    </w:pPr>
  </w:p>
  <w:p w:rsidR="007426D3" w:rsidRPr="00A05446" w:rsidRDefault="007426D3">
    <w:pPr>
      <w:pStyle w:val="Header"/>
      <w:rPr>
        <w:sz w:val="18"/>
        <w:szCs w:val="18"/>
      </w:rPr>
    </w:pPr>
  </w:p>
  <w:p w:rsidR="007426D3" w:rsidRPr="00A05446" w:rsidRDefault="007426D3">
    <w:pPr>
      <w:pStyle w:val="Header"/>
      <w:rPr>
        <w:sz w:val="18"/>
        <w:szCs w:val="18"/>
      </w:rPr>
    </w:pPr>
  </w:p>
  <w:p w:rsidR="007426D3" w:rsidRPr="00A05446" w:rsidRDefault="007426D3">
    <w:pPr>
      <w:pStyle w:val="Header"/>
      <w:rPr>
        <w:sz w:val="18"/>
        <w:szCs w:val="18"/>
      </w:rPr>
    </w:pPr>
  </w:p>
  <w:p w:rsidR="007426D3" w:rsidRPr="00A05446" w:rsidRDefault="007426D3">
    <w:pPr>
      <w:pStyle w:val="Header"/>
      <w:rPr>
        <w:sz w:val="18"/>
        <w:szCs w:val="18"/>
      </w:rPr>
    </w:pPr>
  </w:p>
  <w:p w:rsidR="007426D3" w:rsidRPr="00A05446" w:rsidRDefault="007426D3">
    <w:pPr>
      <w:pStyle w:val="Header"/>
      <w:rPr>
        <w:sz w:val="18"/>
        <w:szCs w:val="18"/>
      </w:rPr>
    </w:pPr>
  </w:p>
  <w:p w:rsidR="007426D3" w:rsidRPr="00A05446" w:rsidRDefault="007426D3">
    <w:pPr>
      <w:pStyle w:val="Header"/>
      <w:rPr>
        <w:sz w:val="18"/>
        <w:szCs w:val="18"/>
      </w:rPr>
    </w:pPr>
  </w:p>
  <w:p w:rsidR="007426D3" w:rsidRPr="00A05446" w:rsidRDefault="007426D3">
    <w:pPr>
      <w:pStyle w:val="Header"/>
      <w:rPr>
        <w:sz w:val="18"/>
        <w:szCs w:val="18"/>
      </w:rPr>
    </w:pPr>
  </w:p>
  <w:p w:rsidR="007426D3" w:rsidRPr="00A05446" w:rsidRDefault="007426D3">
    <w:pPr>
      <w:pStyle w:val="Header"/>
      <w:rPr>
        <w:sz w:val="18"/>
        <w:szCs w:val="18"/>
      </w:rPr>
    </w:pPr>
  </w:p>
  <w:p w:rsidR="007426D3" w:rsidRDefault="007426D3" w:rsidP="00A05446">
    <w:pPr>
      <w:pStyle w:val="Header"/>
      <w:tabs>
        <w:tab w:val="clear" w:pos="4153"/>
        <w:tab w:val="clear" w:pos="8306"/>
        <w:tab w:val="right" w:pos="9925"/>
      </w:tabs>
    </w:pPr>
  </w:p>
  <w:p w:rsidR="007426D3" w:rsidRPr="009B0B67" w:rsidRDefault="007426D3" w:rsidP="00142DE0">
    <w:pPr>
      <w:pStyle w:val="Header"/>
      <w:tabs>
        <w:tab w:val="clear" w:pos="4153"/>
        <w:tab w:val="clear" w:pos="8306"/>
        <w:tab w:val="right" w:pos="10080"/>
      </w:tabs>
      <w:rPr>
        <w:b/>
      </w:rPr>
    </w:pPr>
    <w:r>
      <w:rPr>
        <w:b/>
      </w:rPr>
      <w:t xml:space="preserve">May </w:t>
    </w:r>
    <w:r w:rsidRPr="009B0B67">
      <w:rPr>
        <w:b/>
      </w:rPr>
      <w:t>20</w:t>
    </w:r>
    <w:r>
      <w:rPr>
        <w:b/>
      </w:rPr>
      <w:t>18</w:t>
    </w:r>
    <w:r w:rsidRPr="009B0B67">
      <w:rPr>
        <w:b/>
      </w:rPr>
      <w:tab/>
      <w:t xml:space="preserve">Briefing Note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F5B45"/>
    <w:multiLevelType w:val="multilevel"/>
    <w:tmpl w:val="5DD4E6B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04A1258"/>
    <w:multiLevelType w:val="multilevel"/>
    <w:tmpl w:val="B590ECD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1C82BBF"/>
    <w:multiLevelType w:val="multilevel"/>
    <w:tmpl w:val="D73A477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GrammaticalError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CE"/>
    <w:rsid w:val="0000386B"/>
    <w:rsid w:val="000040A9"/>
    <w:rsid w:val="00007C32"/>
    <w:rsid w:val="000106E2"/>
    <w:rsid w:val="00014E20"/>
    <w:rsid w:val="00022756"/>
    <w:rsid w:val="00023483"/>
    <w:rsid w:val="000464BE"/>
    <w:rsid w:val="00052171"/>
    <w:rsid w:val="0007115B"/>
    <w:rsid w:val="0008627A"/>
    <w:rsid w:val="00087280"/>
    <w:rsid w:val="000A134D"/>
    <w:rsid w:val="000A3778"/>
    <w:rsid w:val="000A55DB"/>
    <w:rsid w:val="000B2186"/>
    <w:rsid w:val="000E4FC2"/>
    <w:rsid w:val="000F57B4"/>
    <w:rsid w:val="001125A5"/>
    <w:rsid w:val="00114D57"/>
    <w:rsid w:val="00120CE3"/>
    <w:rsid w:val="001227C8"/>
    <w:rsid w:val="001416BA"/>
    <w:rsid w:val="00142487"/>
    <w:rsid w:val="00142DE0"/>
    <w:rsid w:val="001511E7"/>
    <w:rsid w:val="00154B3C"/>
    <w:rsid w:val="001623D4"/>
    <w:rsid w:val="00166C96"/>
    <w:rsid w:val="00171AA7"/>
    <w:rsid w:val="0018098D"/>
    <w:rsid w:val="001842B9"/>
    <w:rsid w:val="00186AC3"/>
    <w:rsid w:val="001A3350"/>
    <w:rsid w:val="001A6981"/>
    <w:rsid w:val="001B4A19"/>
    <w:rsid w:val="001B7E5D"/>
    <w:rsid w:val="001C6EC6"/>
    <w:rsid w:val="001D15B2"/>
    <w:rsid w:val="001D1FF8"/>
    <w:rsid w:val="001E0AEC"/>
    <w:rsid w:val="001E0E22"/>
    <w:rsid w:val="001E13A2"/>
    <w:rsid w:val="001F0980"/>
    <w:rsid w:val="001F38A1"/>
    <w:rsid w:val="001F5D5F"/>
    <w:rsid w:val="00207184"/>
    <w:rsid w:val="00244A2B"/>
    <w:rsid w:val="002452EE"/>
    <w:rsid w:val="002B09E2"/>
    <w:rsid w:val="002B1A38"/>
    <w:rsid w:val="002B28BB"/>
    <w:rsid w:val="002B7DA9"/>
    <w:rsid w:val="002E195C"/>
    <w:rsid w:val="002E59A4"/>
    <w:rsid w:val="002F0357"/>
    <w:rsid w:val="002F2FBC"/>
    <w:rsid w:val="002F4D0D"/>
    <w:rsid w:val="00300906"/>
    <w:rsid w:val="003115D3"/>
    <w:rsid w:val="00317E08"/>
    <w:rsid w:val="00327DEA"/>
    <w:rsid w:val="003349BF"/>
    <w:rsid w:val="00342DE8"/>
    <w:rsid w:val="00351928"/>
    <w:rsid w:val="00352E6E"/>
    <w:rsid w:val="0036054C"/>
    <w:rsid w:val="00363EF4"/>
    <w:rsid w:val="0036405D"/>
    <w:rsid w:val="00376132"/>
    <w:rsid w:val="00382338"/>
    <w:rsid w:val="00384FC4"/>
    <w:rsid w:val="00385637"/>
    <w:rsid w:val="00390DBB"/>
    <w:rsid w:val="00397167"/>
    <w:rsid w:val="003A37E1"/>
    <w:rsid w:val="003A4CB0"/>
    <w:rsid w:val="003B2ED7"/>
    <w:rsid w:val="003C00FF"/>
    <w:rsid w:val="003D2953"/>
    <w:rsid w:val="003F02E0"/>
    <w:rsid w:val="00404382"/>
    <w:rsid w:val="004152FA"/>
    <w:rsid w:val="00416C9D"/>
    <w:rsid w:val="004178AB"/>
    <w:rsid w:val="00422B00"/>
    <w:rsid w:val="0043658A"/>
    <w:rsid w:val="004423B3"/>
    <w:rsid w:val="00444606"/>
    <w:rsid w:val="00446FA4"/>
    <w:rsid w:val="00454E47"/>
    <w:rsid w:val="00457C17"/>
    <w:rsid w:val="004622CE"/>
    <w:rsid w:val="004674FB"/>
    <w:rsid w:val="00474CD9"/>
    <w:rsid w:val="0048642F"/>
    <w:rsid w:val="00490029"/>
    <w:rsid w:val="00493B00"/>
    <w:rsid w:val="004D3DC5"/>
    <w:rsid w:val="004D62DB"/>
    <w:rsid w:val="004E5980"/>
    <w:rsid w:val="004E7781"/>
    <w:rsid w:val="004E7F98"/>
    <w:rsid w:val="005018CE"/>
    <w:rsid w:val="00502370"/>
    <w:rsid w:val="005202D9"/>
    <w:rsid w:val="00522D34"/>
    <w:rsid w:val="00534A99"/>
    <w:rsid w:val="00537B2F"/>
    <w:rsid w:val="005418F8"/>
    <w:rsid w:val="005738D6"/>
    <w:rsid w:val="00592755"/>
    <w:rsid w:val="00594ED4"/>
    <w:rsid w:val="00597986"/>
    <w:rsid w:val="005A0BAD"/>
    <w:rsid w:val="005B09DB"/>
    <w:rsid w:val="005B6FBD"/>
    <w:rsid w:val="005C1976"/>
    <w:rsid w:val="005C38AE"/>
    <w:rsid w:val="005D0C3A"/>
    <w:rsid w:val="005D2C05"/>
    <w:rsid w:val="005E6E35"/>
    <w:rsid w:val="005F4A8F"/>
    <w:rsid w:val="005F639A"/>
    <w:rsid w:val="006016E0"/>
    <w:rsid w:val="00601EEB"/>
    <w:rsid w:val="0060526C"/>
    <w:rsid w:val="006054C0"/>
    <w:rsid w:val="006205DA"/>
    <w:rsid w:val="00637409"/>
    <w:rsid w:val="00641D4C"/>
    <w:rsid w:val="006425FF"/>
    <w:rsid w:val="006538A9"/>
    <w:rsid w:val="00675506"/>
    <w:rsid w:val="00684F05"/>
    <w:rsid w:val="006961C2"/>
    <w:rsid w:val="006A4F65"/>
    <w:rsid w:val="006A7E9D"/>
    <w:rsid w:val="006B5DC6"/>
    <w:rsid w:val="006E207E"/>
    <w:rsid w:val="006E4D6F"/>
    <w:rsid w:val="006F4A07"/>
    <w:rsid w:val="006F6CB7"/>
    <w:rsid w:val="00705238"/>
    <w:rsid w:val="0071412C"/>
    <w:rsid w:val="00714D9F"/>
    <w:rsid w:val="00733199"/>
    <w:rsid w:val="007363DB"/>
    <w:rsid w:val="007426D3"/>
    <w:rsid w:val="00757A13"/>
    <w:rsid w:val="00757BB9"/>
    <w:rsid w:val="00765124"/>
    <w:rsid w:val="0076533E"/>
    <w:rsid w:val="007764EE"/>
    <w:rsid w:val="007A6C79"/>
    <w:rsid w:val="007B5E48"/>
    <w:rsid w:val="007D50CA"/>
    <w:rsid w:val="007E190E"/>
    <w:rsid w:val="007F15D0"/>
    <w:rsid w:val="007F16C6"/>
    <w:rsid w:val="007F2300"/>
    <w:rsid w:val="00807EFF"/>
    <w:rsid w:val="00821A55"/>
    <w:rsid w:val="008241C4"/>
    <w:rsid w:val="00830F3C"/>
    <w:rsid w:val="008322A2"/>
    <w:rsid w:val="0083555F"/>
    <w:rsid w:val="00836092"/>
    <w:rsid w:val="008552C4"/>
    <w:rsid w:val="00856E49"/>
    <w:rsid w:val="008648AA"/>
    <w:rsid w:val="008707D8"/>
    <w:rsid w:val="00882261"/>
    <w:rsid w:val="008841C0"/>
    <w:rsid w:val="00884C0E"/>
    <w:rsid w:val="00894B60"/>
    <w:rsid w:val="008A440F"/>
    <w:rsid w:val="008B4230"/>
    <w:rsid w:val="008C38BF"/>
    <w:rsid w:val="008F0B5A"/>
    <w:rsid w:val="00905CD4"/>
    <w:rsid w:val="0091199D"/>
    <w:rsid w:val="00911BCD"/>
    <w:rsid w:val="009144BC"/>
    <w:rsid w:val="00916394"/>
    <w:rsid w:val="00917BA3"/>
    <w:rsid w:val="009234B6"/>
    <w:rsid w:val="0092401A"/>
    <w:rsid w:val="00930788"/>
    <w:rsid w:val="009403C6"/>
    <w:rsid w:val="00954F41"/>
    <w:rsid w:val="0095727C"/>
    <w:rsid w:val="0097334A"/>
    <w:rsid w:val="009A6460"/>
    <w:rsid w:val="009B0B67"/>
    <w:rsid w:val="009B4BE4"/>
    <w:rsid w:val="009C40CF"/>
    <w:rsid w:val="009C748A"/>
    <w:rsid w:val="009D6A07"/>
    <w:rsid w:val="009E6C1C"/>
    <w:rsid w:val="009F0F28"/>
    <w:rsid w:val="00A00107"/>
    <w:rsid w:val="00A05446"/>
    <w:rsid w:val="00A31C1D"/>
    <w:rsid w:val="00A64C18"/>
    <w:rsid w:val="00A711B5"/>
    <w:rsid w:val="00A73FC2"/>
    <w:rsid w:val="00A837F4"/>
    <w:rsid w:val="00A8441B"/>
    <w:rsid w:val="00A9692E"/>
    <w:rsid w:val="00AA65D2"/>
    <w:rsid w:val="00AA7F4C"/>
    <w:rsid w:val="00AD0DA3"/>
    <w:rsid w:val="00AF2BD8"/>
    <w:rsid w:val="00AF66E3"/>
    <w:rsid w:val="00B00513"/>
    <w:rsid w:val="00B428B6"/>
    <w:rsid w:val="00B768EB"/>
    <w:rsid w:val="00B77506"/>
    <w:rsid w:val="00B806CB"/>
    <w:rsid w:val="00B822FB"/>
    <w:rsid w:val="00B83EF6"/>
    <w:rsid w:val="00B906A4"/>
    <w:rsid w:val="00B96009"/>
    <w:rsid w:val="00BA4E03"/>
    <w:rsid w:val="00BC342D"/>
    <w:rsid w:val="00BC792A"/>
    <w:rsid w:val="00BE13E6"/>
    <w:rsid w:val="00BF1B2F"/>
    <w:rsid w:val="00BF36EA"/>
    <w:rsid w:val="00C046F7"/>
    <w:rsid w:val="00C068C2"/>
    <w:rsid w:val="00C20503"/>
    <w:rsid w:val="00C21E24"/>
    <w:rsid w:val="00C222FE"/>
    <w:rsid w:val="00C262E4"/>
    <w:rsid w:val="00C277A7"/>
    <w:rsid w:val="00C3442A"/>
    <w:rsid w:val="00C4192F"/>
    <w:rsid w:val="00C72C21"/>
    <w:rsid w:val="00C843B7"/>
    <w:rsid w:val="00C905AD"/>
    <w:rsid w:val="00C93A24"/>
    <w:rsid w:val="00CC1B5D"/>
    <w:rsid w:val="00CE23D6"/>
    <w:rsid w:val="00CE2E50"/>
    <w:rsid w:val="00CE4E11"/>
    <w:rsid w:val="00D11222"/>
    <w:rsid w:val="00D14AD6"/>
    <w:rsid w:val="00D53A02"/>
    <w:rsid w:val="00D653F1"/>
    <w:rsid w:val="00D72BB5"/>
    <w:rsid w:val="00D75421"/>
    <w:rsid w:val="00D963FF"/>
    <w:rsid w:val="00DB54D3"/>
    <w:rsid w:val="00DC7CAF"/>
    <w:rsid w:val="00DD349C"/>
    <w:rsid w:val="00DD434C"/>
    <w:rsid w:val="00DD5517"/>
    <w:rsid w:val="00DD5FDB"/>
    <w:rsid w:val="00DF460B"/>
    <w:rsid w:val="00E05D07"/>
    <w:rsid w:val="00E1673B"/>
    <w:rsid w:val="00E179DC"/>
    <w:rsid w:val="00E2147D"/>
    <w:rsid w:val="00E24D03"/>
    <w:rsid w:val="00E308CA"/>
    <w:rsid w:val="00E31027"/>
    <w:rsid w:val="00E358EC"/>
    <w:rsid w:val="00E50CEB"/>
    <w:rsid w:val="00E50F3C"/>
    <w:rsid w:val="00E67199"/>
    <w:rsid w:val="00EA21AB"/>
    <w:rsid w:val="00EA4A6E"/>
    <w:rsid w:val="00EB5A70"/>
    <w:rsid w:val="00EC4B96"/>
    <w:rsid w:val="00ED24E5"/>
    <w:rsid w:val="00EE15BC"/>
    <w:rsid w:val="00F02F89"/>
    <w:rsid w:val="00F04B6A"/>
    <w:rsid w:val="00F16821"/>
    <w:rsid w:val="00F40996"/>
    <w:rsid w:val="00F4174B"/>
    <w:rsid w:val="00F44293"/>
    <w:rsid w:val="00F44D1E"/>
    <w:rsid w:val="00F45C77"/>
    <w:rsid w:val="00F46D41"/>
    <w:rsid w:val="00F5472D"/>
    <w:rsid w:val="00F7023C"/>
    <w:rsid w:val="00F9034E"/>
    <w:rsid w:val="00FA12C4"/>
    <w:rsid w:val="00FA3F5D"/>
    <w:rsid w:val="00FA5543"/>
    <w:rsid w:val="00FB47D2"/>
    <w:rsid w:val="00FB56BA"/>
    <w:rsid w:val="00FE658F"/>
    <w:rsid w:val="00FF4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City"/>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B67"/>
    <w:pPr>
      <w:spacing w:after="240"/>
    </w:pPr>
    <w:rPr>
      <w:rFonts w:ascii="Arial" w:hAnsi="Arial"/>
      <w:sz w:val="24"/>
      <w:szCs w:val="24"/>
      <w:lang w:eastAsia="en-US"/>
    </w:rPr>
  </w:style>
  <w:style w:type="paragraph" w:styleId="Heading1">
    <w:name w:val="heading 1"/>
    <w:basedOn w:val="Normal"/>
    <w:next w:val="Normal"/>
    <w:qFormat/>
    <w:rsid w:val="009B0B67"/>
    <w:pPr>
      <w:keepNext/>
      <w:spacing w:before="360" w:after="360"/>
      <w:contextualSpacing/>
      <w:jc w:val="center"/>
      <w:outlineLvl w:val="0"/>
    </w:pPr>
    <w:rPr>
      <w:rFonts w:cs="Arial"/>
      <w:b/>
      <w:bCs/>
      <w:caps/>
      <w:kern w:val="32"/>
      <w:sz w:val="72"/>
      <w:szCs w:val="32"/>
    </w:rPr>
  </w:style>
  <w:style w:type="paragraph" w:styleId="Heading2">
    <w:name w:val="heading 2"/>
    <w:basedOn w:val="Normal"/>
    <w:next w:val="Normal"/>
    <w:qFormat/>
    <w:rsid w:val="009B0B67"/>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120"/>
    </w:pPr>
    <w:rPr>
      <w:sz w:val="20"/>
    </w:rPr>
  </w:style>
  <w:style w:type="paragraph" w:customStyle="1" w:styleId="Intropara">
    <w:name w:val="Intro para"/>
    <w:basedOn w:val="Normal"/>
    <w:pPr>
      <w:tabs>
        <w:tab w:val="right" w:pos="10200"/>
      </w:tabs>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F02E0"/>
    <w:rPr>
      <w:color w:val="0000FF"/>
      <w:u w:val="single"/>
    </w:rPr>
  </w:style>
  <w:style w:type="character" w:customStyle="1" w:styleId="FigureCaption">
    <w:name w:val="Figure Caption"/>
    <w:basedOn w:val="DefaultParagraphFont"/>
    <w:rsid w:val="009B0B67"/>
    <w:rPr>
      <w:i/>
      <w:iCs/>
      <w:sz w:val="20"/>
    </w:rPr>
  </w:style>
  <w:style w:type="paragraph" w:customStyle="1" w:styleId="Densetext">
    <w:name w:val="Dense text"/>
    <w:basedOn w:val="Normal"/>
    <w:rsid w:val="009B0B67"/>
    <w:pPr>
      <w:spacing w:after="0"/>
    </w:pPr>
  </w:style>
  <w:style w:type="character" w:styleId="FollowedHyperlink">
    <w:name w:val="FollowedHyperlink"/>
    <w:basedOn w:val="DefaultParagraphFont"/>
    <w:rsid w:val="0092401A"/>
    <w:rPr>
      <w:color w:val="800080"/>
      <w:u w:val="single"/>
    </w:rPr>
  </w:style>
  <w:style w:type="table" w:styleId="TableGrid">
    <w:name w:val="Table Grid"/>
    <w:basedOn w:val="TableNormal"/>
    <w:rsid w:val="00C84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719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51928"/>
    <w:pPr>
      <w:spacing w:after="0"/>
    </w:pPr>
    <w:rPr>
      <w:rFonts w:ascii="Tahoma" w:hAnsi="Tahoma" w:cs="Tahoma"/>
      <w:sz w:val="16"/>
      <w:szCs w:val="16"/>
    </w:rPr>
  </w:style>
  <w:style w:type="character" w:customStyle="1" w:styleId="BalloonTextChar">
    <w:name w:val="Balloon Text Char"/>
    <w:basedOn w:val="DefaultParagraphFont"/>
    <w:link w:val="BalloonText"/>
    <w:rsid w:val="00351928"/>
    <w:rPr>
      <w:rFonts w:ascii="Tahoma" w:hAnsi="Tahoma" w:cs="Tahoma"/>
      <w:sz w:val="16"/>
      <w:szCs w:val="16"/>
      <w:lang w:eastAsia="en-US"/>
    </w:rPr>
  </w:style>
  <w:style w:type="paragraph" w:styleId="FootnoteText">
    <w:name w:val="footnote text"/>
    <w:basedOn w:val="Normal"/>
    <w:link w:val="FootnoteTextChar"/>
    <w:rsid w:val="00446FA4"/>
    <w:pPr>
      <w:spacing w:after="0"/>
    </w:pPr>
    <w:rPr>
      <w:sz w:val="20"/>
      <w:szCs w:val="20"/>
    </w:rPr>
  </w:style>
  <w:style w:type="character" w:customStyle="1" w:styleId="FootnoteTextChar">
    <w:name w:val="Footnote Text Char"/>
    <w:basedOn w:val="DefaultParagraphFont"/>
    <w:link w:val="FootnoteText"/>
    <w:rsid w:val="00446FA4"/>
    <w:rPr>
      <w:rFonts w:ascii="Arial" w:hAnsi="Arial"/>
      <w:lang w:eastAsia="en-US"/>
    </w:rPr>
  </w:style>
  <w:style w:type="character" w:styleId="FootnoteReference">
    <w:name w:val="footnote reference"/>
    <w:basedOn w:val="DefaultParagraphFont"/>
    <w:rsid w:val="00446F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B67"/>
    <w:pPr>
      <w:spacing w:after="240"/>
    </w:pPr>
    <w:rPr>
      <w:rFonts w:ascii="Arial" w:hAnsi="Arial"/>
      <w:sz w:val="24"/>
      <w:szCs w:val="24"/>
      <w:lang w:eastAsia="en-US"/>
    </w:rPr>
  </w:style>
  <w:style w:type="paragraph" w:styleId="Heading1">
    <w:name w:val="heading 1"/>
    <w:basedOn w:val="Normal"/>
    <w:next w:val="Normal"/>
    <w:qFormat/>
    <w:rsid w:val="009B0B67"/>
    <w:pPr>
      <w:keepNext/>
      <w:spacing w:before="360" w:after="360"/>
      <w:contextualSpacing/>
      <w:jc w:val="center"/>
      <w:outlineLvl w:val="0"/>
    </w:pPr>
    <w:rPr>
      <w:rFonts w:cs="Arial"/>
      <w:b/>
      <w:bCs/>
      <w:caps/>
      <w:kern w:val="32"/>
      <w:sz w:val="72"/>
      <w:szCs w:val="32"/>
    </w:rPr>
  </w:style>
  <w:style w:type="paragraph" w:styleId="Heading2">
    <w:name w:val="heading 2"/>
    <w:basedOn w:val="Normal"/>
    <w:next w:val="Normal"/>
    <w:qFormat/>
    <w:rsid w:val="009B0B67"/>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120"/>
    </w:pPr>
    <w:rPr>
      <w:sz w:val="20"/>
    </w:rPr>
  </w:style>
  <w:style w:type="paragraph" w:customStyle="1" w:styleId="Intropara">
    <w:name w:val="Intro para"/>
    <w:basedOn w:val="Normal"/>
    <w:pPr>
      <w:tabs>
        <w:tab w:val="right" w:pos="10200"/>
      </w:tabs>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F02E0"/>
    <w:rPr>
      <w:color w:val="0000FF"/>
      <w:u w:val="single"/>
    </w:rPr>
  </w:style>
  <w:style w:type="character" w:customStyle="1" w:styleId="FigureCaption">
    <w:name w:val="Figure Caption"/>
    <w:basedOn w:val="DefaultParagraphFont"/>
    <w:rsid w:val="009B0B67"/>
    <w:rPr>
      <w:i/>
      <w:iCs/>
      <w:sz w:val="20"/>
    </w:rPr>
  </w:style>
  <w:style w:type="paragraph" w:customStyle="1" w:styleId="Densetext">
    <w:name w:val="Dense text"/>
    <w:basedOn w:val="Normal"/>
    <w:rsid w:val="009B0B67"/>
    <w:pPr>
      <w:spacing w:after="0"/>
    </w:pPr>
  </w:style>
  <w:style w:type="character" w:styleId="FollowedHyperlink">
    <w:name w:val="FollowedHyperlink"/>
    <w:basedOn w:val="DefaultParagraphFont"/>
    <w:rsid w:val="0092401A"/>
    <w:rPr>
      <w:color w:val="800080"/>
      <w:u w:val="single"/>
    </w:rPr>
  </w:style>
  <w:style w:type="table" w:styleId="TableGrid">
    <w:name w:val="Table Grid"/>
    <w:basedOn w:val="TableNormal"/>
    <w:rsid w:val="00C84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719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51928"/>
    <w:pPr>
      <w:spacing w:after="0"/>
    </w:pPr>
    <w:rPr>
      <w:rFonts w:ascii="Tahoma" w:hAnsi="Tahoma" w:cs="Tahoma"/>
      <w:sz w:val="16"/>
      <w:szCs w:val="16"/>
    </w:rPr>
  </w:style>
  <w:style w:type="character" w:customStyle="1" w:styleId="BalloonTextChar">
    <w:name w:val="Balloon Text Char"/>
    <w:basedOn w:val="DefaultParagraphFont"/>
    <w:link w:val="BalloonText"/>
    <w:rsid w:val="00351928"/>
    <w:rPr>
      <w:rFonts w:ascii="Tahoma" w:hAnsi="Tahoma" w:cs="Tahoma"/>
      <w:sz w:val="16"/>
      <w:szCs w:val="16"/>
      <w:lang w:eastAsia="en-US"/>
    </w:rPr>
  </w:style>
  <w:style w:type="paragraph" w:styleId="FootnoteText">
    <w:name w:val="footnote text"/>
    <w:basedOn w:val="Normal"/>
    <w:link w:val="FootnoteTextChar"/>
    <w:rsid w:val="00446FA4"/>
    <w:pPr>
      <w:spacing w:after="0"/>
    </w:pPr>
    <w:rPr>
      <w:sz w:val="20"/>
      <w:szCs w:val="20"/>
    </w:rPr>
  </w:style>
  <w:style w:type="character" w:customStyle="1" w:styleId="FootnoteTextChar">
    <w:name w:val="Footnote Text Char"/>
    <w:basedOn w:val="DefaultParagraphFont"/>
    <w:link w:val="FootnoteText"/>
    <w:rsid w:val="00446FA4"/>
    <w:rPr>
      <w:rFonts w:ascii="Arial" w:hAnsi="Arial"/>
      <w:lang w:eastAsia="en-US"/>
    </w:rPr>
  </w:style>
  <w:style w:type="character" w:styleId="FootnoteReference">
    <w:name w:val="footnote reference"/>
    <w:basedOn w:val="DefaultParagraphFont"/>
    <w:rsid w:val="00446F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8634">
      <w:bodyDiv w:val="1"/>
      <w:marLeft w:val="0"/>
      <w:marRight w:val="0"/>
      <w:marTop w:val="0"/>
      <w:marBottom w:val="0"/>
      <w:divBdr>
        <w:top w:val="none" w:sz="0" w:space="0" w:color="auto"/>
        <w:left w:val="none" w:sz="0" w:space="0" w:color="auto"/>
        <w:bottom w:val="none" w:sz="0" w:space="0" w:color="auto"/>
        <w:right w:val="none" w:sz="0" w:space="0" w:color="auto"/>
      </w:divBdr>
    </w:div>
    <w:div w:id="148980329">
      <w:bodyDiv w:val="1"/>
      <w:marLeft w:val="0"/>
      <w:marRight w:val="0"/>
      <w:marTop w:val="0"/>
      <w:marBottom w:val="0"/>
      <w:divBdr>
        <w:top w:val="none" w:sz="0" w:space="0" w:color="auto"/>
        <w:left w:val="none" w:sz="0" w:space="0" w:color="auto"/>
        <w:bottom w:val="none" w:sz="0" w:space="0" w:color="auto"/>
        <w:right w:val="none" w:sz="0" w:space="0" w:color="auto"/>
      </w:divBdr>
    </w:div>
    <w:div w:id="154303535">
      <w:bodyDiv w:val="1"/>
      <w:marLeft w:val="0"/>
      <w:marRight w:val="0"/>
      <w:marTop w:val="0"/>
      <w:marBottom w:val="0"/>
      <w:divBdr>
        <w:top w:val="none" w:sz="0" w:space="0" w:color="auto"/>
        <w:left w:val="none" w:sz="0" w:space="0" w:color="auto"/>
        <w:bottom w:val="none" w:sz="0" w:space="0" w:color="auto"/>
        <w:right w:val="none" w:sz="0" w:space="0" w:color="auto"/>
      </w:divBdr>
    </w:div>
    <w:div w:id="806508259">
      <w:bodyDiv w:val="1"/>
      <w:marLeft w:val="0"/>
      <w:marRight w:val="0"/>
      <w:marTop w:val="0"/>
      <w:marBottom w:val="0"/>
      <w:divBdr>
        <w:top w:val="none" w:sz="0" w:space="0" w:color="auto"/>
        <w:left w:val="none" w:sz="0" w:space="0" w:color="auto"/>
        <w:bottom w:val="none" w:sz="0" w:space="0" w:color="auto"/>
        <w:right w:val="none" w:sz="0" w:space="0" w:color="auto"/>
      </w:divBdr>
    </w:div>
    <w:div w:id="840121681">
      <w:bodyDiv w:val="1"/>
      <w:marLeft w:val="0"/>
      <w:marRight w:val="0"/>
      <w:marTop w:val="0"/>
      <w:marBottom w:val="0"/>
      <w:divBdr>
        <w:top w:val="none" w:sz="0" w:space="0" w:color="auto"/>
        <w:left w:val="none" w:sz="0" w:space="0" w:color="auto"/>
        <w:bottom w:val="none" w:sz="0" w:space="0" w:color="auto"/>
        <w:right w:val="none" w:sz="0" w:space="0" w:color="auto"/>
      </w:divBdr>
    </w:div>
    <w:div w:id="930089530">
      <w:bodyDiv w:val="1"/>
      <w:marLeft w:val="0"/>
      <w:marRight w:val="0"/>
      <w:marTop w:val="0"/>
      <w:marBottom w:val="0"/>
      <w:divBdr>
        <w:top w:val="none" w:sz="0" w:space="0" w:color="auto"/>
        <w:left w:val="none" w:sz="0" w:space="0" w:color="auto"/>
        <w:bottom w:val="none" w:sz="0" w:space="0" w:color="auto"/>
        <w:right w:val="none" w:sz="0" w:space="0" w:color="auto"/>
      </w:divBdr>
    </w:div>
    <w:div w:id="1181964906">
      <w:bodyDiv w:val="1"/>
      <w:marLeft w:val="0"/>
      <w:marRight w:val="0"/>
      <w:marTop w:val="0"/>
      <w:marBottom w:val="0"/>
      <w:divBdr>
        <w:top w:val="none" w:sz="0" w:space="0" w:color="auto"/>
        <w:left w:val="none" w:sz="0" w:space="0" w:color="auto"/>
        <w:bottom w:val="none" w:sz="0" w:space="0" w:color="auto"/>
        <w:right w:val="none" w:sz="0" w:space="0" w:color="auto"/>
      </w:divBdr>
    </w:div>
    <w:div w:id="1250893729">
      <w:bodyDiv w:val="1"/>
      <w:marLeft w:val="0"/>
      <w:marRight w:val="0"/>
      <w:marTop w:val="0"/>
      <w:marBottom w:val="0"/>
      <w:divBdr>
        <w:top w:val="none" w:sz="0" w:space="0" w:color="auto"/>
        <w:left w:val="none" w:sz="0" w:space="0" w:color="auto"/>
        <w:bottom w:val="none" w:sz="0" w:space="0" w:color="auto"/>
        <w:right w:val="none" w:sz="0" w:space="0" w:color="auto"/>
      </w:divBdr>
    </w:div>
    <w:div w:id="1276404394">
      <w:bodyDiv w:val="1"/>
      <w:marLeft w:val="0"/>
      <w:marRight w:val="0"/>
      <w:marTop w:val="0"/>
      <w:marBottom w:val="0"/>
      <w:divBdr>
        <w:top w:val="none" w:sz="0" w:space="0" w:color="auto"/>
        <w:left w:val="none" w:sz="0" w:space="0" w:color="auto"/>
        <w:bottom w:val="none" w:sz="0" w:space="0" w:color="auto"/>
        <w:right w:val="none" w:sz="0" w:space="0" w:color="auto"/>
      </w:divBdr>
    </w:div>
    <w:div w:id="16108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hyperlink" Target="http://www.sandwelltrends.info"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sandwelltrends.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oleObject" Target="file:///\\COR-C-NAS-01\CE-UR-1_Share$\Research\Projects\IMD%202015\IMD%20by%20national%20decile%20graph%20for%20briefing%20not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OR-C-NAS-01\CE-UR-1_Share$\Research\Projects\IMD%202015\Deciles%20for%20all%20domains%202004-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OR-C-NAS-01\CE-UR-1_Share$\Research\Projects\IMD%202015\Deciles%20for%20all%20domains%202004-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OR-C-NAS-01\CE-UR-1_Share$\Research\Projects\IMD%202015\Deciles%20for%20all%20domains%202004-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IMD in</a:t>
            </a:r>
            <a:r>
              <a:rPr lang="en-GB" baseline="0"/>
              <a:t> Sandwell by National Decile</a:t>
            </a:r>
            <a:endParaRPr lang="en-GB"/>
          </a:p>
        </c:rich>
      </c:tx>
      <c:layout>
        <c:manualLayout>
          <c:xMode val="edge"/>
          <c:yMode val="edge"/>
          <c:x val="0.20759407234917632"/>
          <c:y val="2.0025028657865814E-2"/>
        </c:manualLayout>
      </c:layout>
      <c:overlay val="1"/>
    </c:title>
    <c:autoTitleDeleted val="0"/>
    <c:plotArea>
      <c:layout>
        <c:manualLayout>
          <c:layoutTarget val="inner"/>
          <c:xMode val="edge"/>
          <c:yMode val="edge"/>
          <c:x val="0.1382795665393311"/>
          <c:y val="0.1597972635457737"/>
          <c:w val="0.76533749122943795"/>
          <c:h val="0.66771121091236052"/>
        </c:manualLayout>
      </c:layout>
      <c:barChart>
        <c:barDir val="col"/>
        <c:grouping val="clustered"/>
        <c:varyColors val="0"/>
        <c:ser>
          <c:idx val="0"/>
          <c:order val="0"/>
          <c:tx>
            <c:strRef>
              <c:f>Sheet2!$B$3</c:f>
              <c:strCache>
                <c:ptCount val="1"/>
                <c:pt idx="0">
                  <c:v>2004</c:v>
                </c:pt>
              </c:strCache>
            </c:strRef>
          </c:tx>
          <c:spPr>
            <a:solidFill>
              <a:srgbClr val="7030A0"/>
            </a:solidFill>
            <a:ln>
              <a:noFill/>
            </a:ln>
          </c:spPr>
          <c:invertIfNegative val="0"/>
          <c:cat>
            <c:numRef>
              <c:f>Sheet2!$A$4:$A$13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Sheet2!$B$4:$B$13</c:f>
              <c:numCache>
                <c:formatCode>0.0%</c:formatCode>
                <c:ptCount val="10"/>
                <c:pt idx="0">
                  <c:v>0.23529411764705882</c:v>
                </c:pt>
                <c:pt idx="1">
                  <c:v>0.29946524064171121</c:v>
                </c:pt>
                <c:pt idx="2">
                  <c:v>0.20320855614973263</c:v>
                </c:pt>
                <c:pt idx="3">
                  <c:v>8.5561497326203204E-2</c:v>
                </c:pt>
                <c:pt idx="4">
                  <c:v>6.4171122994652413E-2</c:v>
                </c:pt>
                <c:pt idx="5">
                  <c:v>8.0213903743315509E-2</c:v>
                </c:pt>
                <c:pt idx="6">
                  <c:v>2.6737967914438502E-2</c:v>
                </c:pt>
                <c:pt idx="7">
                  <c:v>5.3475935828877002E-3</c:v>
                </c:pt>
                <c:pt idx="8" formatCode="General">
                  <c:v>0</c:v>
                </c:pt>
                <c:pt idx="9" formatCode="General">
                  <c:v>0</c:v>
                </c:pt>
              </c:numCache>
            </c:numRef>
          </c:val>
        </c:ser>
        <c:ser>
          <c:idx val="1"/>
          <c:order val="1"/>
          <c:tx>
            <c:strRef>
              <c:f>Sheet2!$C$3</c:f>
              <c:strCache>
                <c:ptCount val="1"/>
                <c:pt idx="0">
                  <c:v>2007</c:v>
                </c:pt>
              </c:strCache>
            </c:strRef>
          </c:tx>
          <c:spPr>
            <a:solidFill>
              <a:srgbClr val="0070C0"/>
            </a:solidFill>
          </c:spPr>
          <c:invertIfNegative val="0"/>
          <c:dPt>
            <c:idx val="3"/>
            <c:invertIfNegative val="0"/>
            <c:bubble3D val="0"/>
            <c:spPr>
              <a:solidFill>
                <a:srgbClr val="0070C0"/>
              </a:solidFill>
              <a:ln>
                <a:noFill/>
              </a:ln>
            </c:spPr>
          </c:dPt>
          <c:cat>
            <c:numRef>
              <c:f>Sheet2!$A$4:$A$13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Sheet2!$C$4:$C$13</c:f>
              <c:numCache>
                <c:formatCode>0.0%</c:formatCode>
                <c:ptCount val="10"/>
                <c:pt idx="0">
                  <c:v>0.29411764705882354</c:v>
                </c:pt>
                <c:pt idx="1">
                  <c:v>0.29946524064171121</c:v>
                </c:pt>
                <c:pt idx="2">
                  <c:v>0.16577540106951871</c:v>
                </c:pt>
                <c:pt idx="3">
                  <c:v>5.8823529411764705E-2</c:v>
                </c:pt>
                <c:pt idx="4">
                  <c:v>8.0213903743315509E-2</c:v>
                </c:pt>
                <c:pt idx="5">
                  <c:v>8.0213903743315509E-2</c:v>
                </c:pt>
                <c:pt idx="6">
                  <c:v>1.6042780748663103E-2</c:v>
                </c:pt>
                <c:pt idx="7">
                  <c:v>5.3475935828877002E-3</c:v>
                </c:pt>
              </c:numCache>
            </c:numRef>
          </c:val>
        </c:ser>
        <c:ser>
          <c:idx val="2"/>
          <c:order val="2"/>
          <c:tx>
            <c:strRef>
              <c:f>Sheet2!$D$3</c:f>
              <c:strCache>
                <c:ptCount val="1"/>
                <c:pt idx="0">
                  <c:v>2010</c:v>
                </c:pt>
              </c:strCache>
            </c:strRef>
          </c:tx>
          <c:spPr>
            <a:solidFill>
              <a:srgbClr val="00B050"/>
            </a:solidFill>
            <a:ln>
              <a:noFill/>
            </a:ln>
          </c:spPr>
          <c:invertIfNegative val="0"/>
          <c:cat>
            <c:numRef>
              <c:f>Sheet2!$A$4:$A$13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Sheet2!$D$4:$D$13</c:f>
              <c:numCache>
                <c:formatCode>0.0%</c:formatCode>
                <c:ptCount val="10"/>
                <c:pt idx="0">
                  <c:v>0.30481283422459893</c:v>
                </c:pt>
                <c:pt idx="1">
                  <c:v>0.28342245989304815</c:v>
                </c:pt>
                <c:pt idx="2">
                  <c:v>0.16042780748663102</c:v>
                </c:pt>
                <c:pt idx="3">
                  <c:v>6.9518716577540107E-2</c:v>
                </c:pt>
                <c:pt idx="4">
                  <c:v>6.9518716577540107E-2</c:v>
                </c:pt>
                <c:pt idx="5">
                  <c:v>7.4866310160427801E-2</c:v>
                </c:pt>
                <c:pt idx="6">
                  <c:v>3.2085561497326207E-2</c:v>
                </c:pt>
                <c:pt idx="7">
                  <c:v>5.3475935828877002E-3</c:v>
                </c:pt>
                <c:pt idx="8">
                  <c:v>0</c:v>
                </c:pt>
                <c:pt idx="9">
                  <c:v>0</c:v>
                </c:pt>
              </c:numCache>
            </c:numRef>
          </c:val>
        </c:ser>
        <c:ser>
          <c:idx val="3"/>
          <c:order val="3"/>
          <c:tx>
            <c:strRef>
              <c:f>Sheet2!$E$3</c:f>
              <c:strCache>
                <c:ptCount val="1"/>
                <c:pt idx="0">
                  <c:v>2015</c:v>
                </c:pt>
              </c:strCache>
            </c:strRef>
          </c:tx>
          <c:spPr>
            <a:solidFill>
              <a:srgbClr val="FF0000"/>
            </a:solidFill>
          </c:spPr>
          <c:invertIfNegative val="0"/>
          <c:cat>
            <c:numRef>
              <c:f>Sheet2!$A$4:$A$13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Sheet2!$E$4:$E$13</c:f>
              <c:numCache>
                <c:formatCode>0.0%</c:formatCode>
                <c:ptCount val="10"/>
                <c:pt idx="0">
                  <c:v>0.22580645161290322</c:v>
                </c:pt>
                <c:pt idx="1">
                  <c:v>0.32258064516129031</c:v>
                </c:pt>
                <c:pt idx="2">
                  <c:v>0.17741935483870969</c:v>
                </c:pt>
                <c:pt idx="3">
                  <c:v>5.9139784946236562E-2</c:v>
                </c:pt>
                <c:pt idx="4">
                  <c:v>7.5268817204301078E-2</c:v>
                </c:pt>
                <c:pt idx="5">
                  <c:v>7.5268817204301078E-2</c:v>
                </c:pt>
                <c:pt idx="6">
                  <c:v>4.8387096774193547E-2</c:v>
                </c:pt>
                <c:pt idx="7">
                  <c:v>1.0752688172043012E-2</c:v>
                </c:pt>
                <c:pt idx="8">
                  <c:v>5.3763440860215058E-3</c:v>
                </c:pt>
                <c:pt idx="9">
                  <c:v>0</c:v>
                </c:pt>
              </c:numCache>
            </c:numRef>
          </c:val>
        </c:ser>
        <c:dLbls>
          <c:showLegendKey val="0"/>
          <c:showVal val="0"/>
          <c:showCatName val="0"/>
          <c:showSerName val="0"/>
          <c:showPercent val="0"/>
          <c:showBubbleSize val="0"/>
        </c:dLbls>
        <c:gapWidth val="50"/>
        <c:axId val="140658176"/>
        <c:axId val="140660096"/>
      </c:barChart>
      <c:catAx>
        <c:axId val="140658176"/>
        <c:scaling>
          <c:orientation val="minMax"/>
        </c:scaling>
        <c:delete val="0"/>
        <c:axPos val="b"/>
        <c:title>
          <c:tx>
            <c:rich>
              <a:bodyPr/>
              <a:lstStyle/>
              <a:p>
                <a:pPr>
                  <a:defRPr sz="1200"/>
                </a:pPr>
                <a:r>
                  <a:rPr lang="en-GB" sz="1200"/>
                  <a:t>National Decile (where 1 is the most deprived)</a:t>
                </a:r>
              </a:p>
            </c:rich>
          </c:tx>
          <c:layout/>
          <c:overlay val="0"/>
        </c:title>
        <c:numFmt formatCode="General" sourceLinked="1"/>
        <c:majorTickMark val="out"/>
        <c:minorTickMark val="none"/>
        <c:tickLblPos val="nextTo"/>
        <c:txPr>
          <a:bodyPr/>
          <a:lstStyle/>
          <a:p>
            <a:pPr>
              <a:defRPr sz="1200"/>
            </a:pPr>
            <a:endParaRPr lang="en-US"/>
          </a:p>
        </c:txPr>
        <c:crossAx val="140660096"/>
        <c:crosses val="autoZero"/>
        <c:auto val="1"/>
        <c:lblAlgn val="ctr"/>
        <c:lblOffset val="100"/>
        <c:noMultiLvlLbl val="0"/>
      </c:catAx>
      <c:valAx>
        <c:axId val="140660096"/>
        <c:scaling>
          <c:orientation val="minMax"/>
        </c:scaling>
        <c:delete val="0"/>
        <c:axPos val="l"/>
        <c:majorGridlines/>
        <c:title>
          <c:tx>
            <c:rich>
              <a:bodyPr rot="0" vert="horz"/>
              <a:lstStyle/>
              <a:p>
                <a:pPr>
                  <a:defRPr sz="1100"/>
                </a:pPr>
                <a:r>
                  <a:rPr lang="en-GB" sz="1100"/>
                  <a:t>% of</a:t>
                </a:r>
                <a:r>
                  <a:rPr lang="en-GB" sz="1100" baseline="0"/>
                  <a:t> Sandwell</a:t>
                </a:r>
                <a:br>
                  <a:rPr lang="en-GB" sz="1100" baseline="0"/>
                </a:br>
                <a:r>
                  <a:rPr lang="en-GB" sz="1100" baseline="0"/>
                  <a:t> LSOAs</a:t>
                </a:r>
                <a:endParaRPr lang="en-GB" sz="1100"/>
              </a:p>
            </c:rich>
          </c:tx>
          <c:layout>
            <c:manualLayout>
              <c:xMode val="edge"/>
              <c:yMode val="edge"/>
              <c:x val="2.9392933812788818E-2"/>
              <c:y val="4.1071573918428736E-2"/>
            </c:manualLayout>
          </c:layout>
          <c:overlay val="0"/>
        </c:title>
        <c:numFmt formatCode="0%" sourceLinked="0"/>
        <c:majorTickMark val="out"/>
        <c:minorTickMark val="none"/>
        <c:tickLblPos val="nextTo"/>
        <c:txPr>
          <a:bodyPr/>
          <a:lstStyle/>
          <a:p>
            <a:pPr>
              <a:defRPr sz="1200"/>
            </a:pPr>
            <a:endParaRPr lang="en-US"/>
          </a:p>
        </c:txPr>
        <c:crossAx val="140658176"/>
        <c:crosses val="autoZero"/>
        <c:crossBetween val="between"/>
      </c:valAx>
      <c:spPr>
        <a:ln>
          <a:solidFill>
            <a:srgbClr val="008000"/>
          </a:solidFill>
        </a:ln>
      </c:spPr>
    </c:plotArea>
    <c:legend>
      <c:legendPos val="r"/>
      <c:layout>
        <c:manualLayout>
          <c:xMode val="edge"/>
          <c:yMode val="edge"/>
          <c:x val="0.75902871546997219"/>
          <c:y val="0.18411007153627579"/>
          <c:w val="0.11486479041604948"/>
          <c:h val="0.30249575405833024"/>
        </c:manualLayout>
      </c:layout>
      <c:overlay val="0"/>
      <c:spPr>
        <a:solidFill>
          <a:schemeClr val="bg1"/>
        </a:solidFill>
        <a:ln>
          <a:solidFill>
            <a:schemeClr val="tx1">
              <a:lumMod val="50000"/>
              <a:lumOff val="50000"/>
            </a:schemeClr>
          </a:solidFill>
        </a:ln>
      </c:spPr>
      <c:txPr>
        <a:bodyPr/>
        <a:lstStyle/>
        <a:p>
          <a:pPr>
            <a:defRPr sz="1200"/>
          </a:pPr>
          <a:endParaRPr lang="en-US"/>
        </a:p>
      </c:txPr>
    </c:legend>
    <c:plotVisOnly val="1"/>
    <c:dispBlanksAs val="gap"/>
    <c:showDLblsOverMax val="0"/>
  </c:chart>
  <c:spPr>
    <a:ln>
      <a:solidFill>
        <a:srgbClr val="00800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Health Domain in</a:t>
            </a:r>
            <a:r>
              <a:rPr lang="en-GB" baseline="0"/>
              <a:t> Sandwell</a:t>
            </a:r>
            <a:br>
              <a:rPr lang="en-GB" baseline="0"/>
            </a:br>
            <a:r>
              <a:rPr lang="en-GB" baseline="0"/>
              <a:t>by National Decile</a:t>
            </a:r>
            <a:endParaRPr lang="en-GB"/>
          </a:p>
        </c:rich>
      </c:tx>
      <c:layout>
        <c:manualLayout>
          <c:xMode val="edge"/>
          <c:yMode val="edge"/>
          <c:x val="0.2796071532650054"/>
          <c:y val="2.0025028657865814E-2"/>
        </c:manualLayout>
      </c:layout>
      <c:overlay val="1"/>
    </c:title>
    <c:autoTitleDeleted val="0"/>
    <c:plotArea>
      <c:layout>
        <c:manualLayout>
          <c:layoutTarget val="inner"/>
          <c:xMode val="edge"/>
          <c:yMode val="edge"/>
          <c:x val="0.1382795665393311"/>
          <c:y val="0.18315989696308088"/>
          <c:w val="0.76533749122943795"/>
          <c:h val="0.6443486583493595"/>
        </c:manualLayout>
      </c:layout>
      <c:barChart>
        <c:barDir val="col"/>
        <c:grouping val="clustered"/>
        <c:varyColors val="0"/>
        <c:ser>
          <c:idx val="0"/>
          <c:order val="0"/>
          <c:tx>
            <c:strRef>
              <c:f>Tables!$B$40</c:f>
              <c:strCache>
                <c:ptCount val="1"/>
                <c:pt idx="0">
                  <c:v>2004</c:v>
                </c:pt>
              </c:strCache>
            </c:strRef>
          </c:tx>
          <c:spPr>
            <a:solidFill>
              <a:srgbClr val="7030A0"/>
            </a:solidFill>
            <a:ln>
              <a:noFill/>
            </a:ln>
          </c:spPr>
          <c:invertIfNegative val="0"/>
          <c:val>
            <c:numRef>
              <c:f>Tables!$B$41:$B$50</c:f>
              <c:numCache>
                <c:formatCode>0.0%</c:formatCode>
                <c:ptCount val="10"/>
                <c:pt idx="0">
                  <c:v>7.4866310160427801E-2</c:v>
                </c:pt>
                <c:pt idx="1">
                  <c:v>0.28342245989304815</c:v>
                </c:pt>
                <c:pt idx="2">
                  <c:v>0.34224598930481276</c:v>
                </c:pt>
                <c:pt idx="3">
                  <c:v>0.10695187165775401</c:v>
                </c:pt>
                <c:pt idx="4">
                  <c:v>0.10695187165775401</c:v>
                </c:pt>
                <c:pt idx="5">
                  <c:v>8.0213903743315509E-2</c:v>
                </c:pt>
                <c:pt idx="6">
                  <c:v>5.3475935828876994E-3</c:v>
                </c:pt>
                <c:pt idx="7">
                  <c:v>0</c:v>
                </c:pt>
                <c:pt idx="8">
                  <c:v>0</c:v>
                </c:pt>
                <c:pt idx="9">
                  <c:v>0</c:v>
                </c:pt>
              </c:numCache>
            </c:numRef>
          </c:val>
        </c:ser>
        <c:ser>
          <c:idx val="1"/>
          <c:order val="1"/>
          <c:tx>
            <c:strRef>
              <c:f>Tables!$C$40</c:f>
              <c:strCache>
                <c:ptCount val="1"/>
                <c:pt idx="0">
                  <c:v>2007</c:v>
                </c:pt>
              </c:strCache>
            </c:strRef>
          </c:tx>
          <c:spPr>
            <a:solidFill>
              <a:srgbClr val="0070C0"/>
            </a:solidFill>
          </c:spPr>
          <c:invertIfNegative val="0"/>
          <c:dPt>
            <c:idx val="3"/>
            <c:invertIfNegative val="0"/>
            <c:bubble3D val="0"/>
            <c:spPr>
              <a:solidFill>
                <a:srgbClr val="0070C0"/>
              </a:solidFill>
              <a:ln>
                <a:noFill/>
              </a:ln>
            </c:spPr>
          </c:dPt>
          <c:val>
            <c:numRef>
              <c:f>Tables!$C$41:$C$50</c:f>
              <c:numCache>
                <c:formatCode>0.0%</c:formatCode>
                <c:ptCount val="10"/>
                <c:pt idx="0">
                  <c:v>0.20320855614973263</c:v>
                </c:pt>
                <c:pt idx="1">
                  <c:v>0.35294117647058826</c:v>
                </c:pt>
                <c:pt idx="2">
                  <c:v>0.19251336898395721</c:v>
                </c:pt>
                <c:pt idx="3">
                  <c:v>9.0909090909090912E-2</c:v>
                </c:pt>
                <c:pt idx="4">
                  <c:v>0.13903743315508021</c:v>
                </c:pt>
                <c:pt idx="5">
                  <c:v>1.6042780748663103E-2</c:v>
                </c:pt>
                <c:pt idx="6">
                  <c:v>5.3475935828876994E-3</c:v>
                </c:pt>
                <c:pt idx="7">
                  <c:v>0</c:v>
                </c:pt>
                <c:pt idx="8">
                  <c:v>0</c:v>
                </c:pt>
                <c:pt idx="9">
                  <c:v>0</c:v>
                </c:pt>
              </c:numCache>
            </c:numRef>
          </c:val>
        </c:ser>
        <c:ser>
          <c:idx val="2"/>
          <c:order val="2"/>
          <c:tx>
            <c:strRef>
              <c:f>Tables!$D$40</c:f>
              <c:strCache>
                <c:ptCount val="1"/>
                <c:pt idx="0">
                  <c:v>2010</c:v>
                </c:pt>
              </c:strCache>
            </c:strRef>
          </c:tx>
          <c:spPr>
            <a:solidFill>
              <a:srgbClr val="00B050"/>
            </a:solidFill>
            <a:ln>
              <a:noFill/>
            </a:ln>
          </c:spPr>
          <c:invertIfNegative val="0"/>
          <c:val>
            <c:numRef>
              <c:f>Tables!$D$41:$D$50</c:f>
              <c:numCache>
                <c:formatCode>0.0%</c:formatCode>
                <c:ptCount val="10"/>
                <c:pt idx="0">
                  <c:v>0.34224598930481281</c:v>
                </c:pt>
                <c:pt idx="1">
                  <c:v>0.30481283422459893</c:v>
                </c:pt>
                <c:pt idx="2">
                  <c:v>0.16042780748663102</c:v>
                </c:pt>
                <c:pt idx="3">
                  <c:v>0.10695187165775401</c:v>
                </c:pt>
                <c:pt idx="4">
                  <c:v>6.9518716577540107E-2</c:v>
                </c:pt>
                <c:pt idx="5">
                  <c:v>1.06951871657754E-2</c:v>
                </c:pt>
                <c:pt idx="6">
                  <c:v>5.3475935828877002E-3</c:v>
                </c:pt>
                <c:pt idx="7">
                  <c:v>0</c:v>
                </c:pt>
                <c:pt idx="8">
                  <c:v>0</c:v>
                </c:pt>
                <c:pt idx="9">
                  <c:v>0</c:v>
                </c:pt>
              </c:numCache>
            </c:numRef>
          </c:val>
        </c:ser>
        <c:ser>
          <c:idx val="3"/>
          <c:order val="3"/>
          <c:tx>
            <c:strRef>
              <c:f>Tables!$E$40</c:f>
              <c:strCache>
                <c:ptCount val="1"/>
                <c:pt idx="0">
                  <c:v>2015</c:v>
                </c:pt>
              </c:strCache>
            </c:strRef>
          </c:tx>
          <c:spPr>
            <a:solidFill>
              <a:srgbClr val="FF0000"/>
            </a:solidFill>
          </c:spPr>
          <c:invertIfNegative val="0"/>
          <c:val>
            <c:numRef>
              <c:f>Tables!$E$41:$E$50</c:f>
              <c:numCache>
                <c:formatCode>0.0%</c:formatCode>
                <c:ptCount val="10"/>
                <c:pt idx="0">
                  <c:v>0.12903225806451613</c:v>
                </c:pt>
                <c:pt idx="1">
                  <c:v>0.36021505376344087</c:v>
                </c:pt>
                <c:pt idx="2">
                  <c:v>0.22043010752688172</c:v>
                </c:pt>
                <c:pt idx="3">
                  <c:v>0.11827956989247312</c:v>
                </c:pt>
                <c:pt idx="4">
                  <c:v>8.6021505376344093E-2</c:v>
                </c:pt>
                <c:pt idx="5">
                  <c:v>6.9892473118279563E-2</c:v>
                </c:pt>
                <c:pt idx="6">
                  <c:v>1.6129032258064516E-2</c:v>
                </c:pt>
                <c:pt idx="7">
                  <c:v>0</c:v>
                </c:pt>
                <c:pt idx="8">
                  <c:v>0</c:v>
                </c:pt>
                <c:pt idx="9">
                  <c:v>0</c:v>
                </c:pt>
              </c:numCache>
            </c:numRef>
          </c:val>
        </c:ser>
        <c:dLbls>
          <c:showLegendKey val="0"/>
          <c:showVal val="0"/>
          <c:showCatName val="0"/>
          <c:showSerName val="0"/>
          <c:showPercent val="0"/>
          <c:showBubbleSize val="0"/>
        </c:dLbls>
        <c:gapWidth val="50"/>
        <c:axId val="157826432"/>
        <c:axId val="157836800"/>
      </c:barChart>
      <c:catAx>
        <c:axId val="157826432"/>
        <c:scaling>
          <c:orientation val="minMax"/>
        </c:scaling>
        <c:delete val="0"/>
        <c:axPos val="b"/>
        <c:title>
          <c:tx>
            <c:rich>
              <a:bodyPr/>
              <a:lstStyle/>
              <a:p>
                <a:pPr>
                  <a:defRPr sz="1200"/>
                </a:pPr>
                <a:r>
                  <a:rPr lang="en-GB" sz="1200"/>
                  <a:t>National Decile (where 1 is the most deprived)</a:t>
                </a:r>
              </a:p>
            </c:rich>
          </c:tx>
          <c:layout/>
          <c:overlay val="0"/>
        </c:title>
        <c:numFmt formatCode="General" sourceLinked="1"/>
        <c:majorTickMark val="out"/>
        <c:minorTickMark val="none"/>
        <c:tickLblPos val="nextTo"/>
        <c:txPr>
          <a:bodyPr/>
          <a:lstStyle/>
          <a:p>
            <a:pPr>
              <a:defRPr sz="1200"/>
            </a:pPr>
            <a:endParaRPr lang="en-US"/>
          </a:p>
        </c:txPr>
        <c:crossAx val="157836800"/>
        <c:crosses val="autoZero"/>
        <c:auto val="1"/>
        <c:lblAlgn val="ctr"/>
        <c:lblOffset val="100"/>
        <c:noMultiLvlLbl val="0"/>
      </c:catAx>
      <c:valAx>
        <c:axId val="157836800"/>
        <c:scaling>
          <c:orientation val="minMax"/>
          <c:max val="0.4"/>
        </c:scaling>
        <c:delete val="0"/>
        <c:axPos val="l"/>
        <c:majorGridlines/>
        <c:title>
          <c:tx>
            <c:rich>
              <a:bodyPr rot="0" vert="horz"/>
              <a:lstStyle/>
              <a:p>
                <a:pPr>
                  <a:defRPr sz="1100"/>
                </a:pPr>
                <a:r>
                  <a:rPr lang="en-GB" sz="1100"/>
                  <a:t>% of</a:t>
                </a:r>
                <a:r>
                  <a:rPr lang="en-GB" sz="1100" baseline="0"/>
                  <a:t> Sandwell LSOAs</a:t>
                </a:r>
                <a:endParaRPr lang="en-GB" sz="1100"/>
              </a:p>
            </c:rich>
          </c:tx>
          <c:layout>
            <c:manualLayout>
              <c:xMode val="edge"/>
              <c:yMode val="edge"/>
              <c:x val="2.3520312173367711E-2"/>
              <c:y val="8.9336248318847275E-2"/>
            </c:manualLayout>
          </c:layout>
          <c:overlay val="0"/>
        </c:title>
        <c:numFmt formatCode="0%" sourceLinked="0"/>
        <c:majorTickMark val="out"/>
        <c:minorTickMark val="none"/>
        <c:tickLblPos val="nextTo"/>
        <c:txPr>
          <a:bodyPr/>
          <a:lstStyle/>
          <a:p>
            <a:pPr>
              <a:defRPr sz="1200"/>
            </a:pPr>
            <a:endParaRPr lang="en-US"/>
          </a:p>
        </c:txPr>
        <c:crossAx val="157826432"/>
        <c:crosses val="autoZero"/>
        <c:crossBetween val="between"/>
      </c:valAx>
      <c:spPr>
        <a:ln>
          <a:solidFill>
            <a:srgbClr val="008000"/>
          </a:solidFill>
        </a:ln>
      </c:spPr>
    </c:plotArea>
    <c:legend>
      <c:legendPos val="r"/>
      <c:layout>
        <c:manualLayout>
          <c:xMode val="edge"/>
          <c:yMode val="edge"/>
          <c:x val="0.75902869801174477"/>
          <c:y val="0.21748521380265831"/>
          <c:w val="9.4937330921327556E-2"/>
          <c:h val="0.2737226948748015"/>
        </c:manualLayout>
      </c:layout>
      <c:overlay val="0"/>
      <c:spPr>
        <a:solidFill>
          <a:schemeClr val="bg1"/>
        </a:solidFill>
        <a:ln>
          <a:solidFill>
            <a:schemeClr val="tx1">
              <a:lumMod val="50000"/>
              <a:lumOff val="50000"/>
            </a:schemeClr>
          </a:solidFill>
        </a:ln>
      </c:spPr>
      <c:txPr>
        <a:bodyPr/>
        <a:lstStyle/>
        <a:p>
          <a:pPr>
            <a:defRPr sz="1200"/>
          </a:pPr>
          <a:endParaRPr lang="en-US"/>
        </a:p>
      </c:txPr>
    </c:legend>
    <c:plotVisOnly val="1"/>
    <c:dispBlanksAs val="gap"/>
    <c:showDLblsOverMax val="0"/>
  </c:chart>
  <c:spPr>
    <a:ln>
      <a:solidFill>
        <a:srgbClr val="008000"/>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IDACI in</a:t>
            </a:r>
            <a:r>
              <a:rPr lang="en-GB" baseline="0"/>
              <a:t> Sandwell</a:t>
            </a:r>
            <a:br>
              <a:rPr lang="en-GB" baseline="0"/>
            </a:br>
            <a:r>
              <a:rPr lang="en-GB" baseline="0"/>
              <a:t>by National Decile</a:t>
            </a:r>
            <a:endParaRPr lang="en-GB"/>
          </a:p>
        </c:rich>
      </c:tx>
      <c:layout>
        <c:manualLayout>
          <c:xMode val="edge"/>
          <c:yMode val="edge"/>
          <c:x val="0.35162023418083443"/>
          <c:y val="2.0025028657865814E-2"/>
        </c:manualLayout>
      </c:layout>
      <c:overlay val="1"/>
    </c:title>
    <c:autoTitleDeleted val="0"/>
    <c:plotArea>
      <c:layout>
        <c:manualLayout>
          <c:layoutTarget val="inner"/>
          <c:xMode val="edge"/>
          <c:yMode val="edge"/>
          <c:x val="0.1382795665393311"/>
          <c:y val="0.18315989696308088"/>
          <c:w val="0.76533749122943795"/>
          <c:h val="0.6443486583493595"/>
        </c:manualLayout>
      </c:layout>
      <c:barChart>
        <c:barDir val="col"/>
        <c:grouping val="clustered"/>
        <c:varyColors val="0"/>
        <c:ser>
          <c:idx val="0"/>
          <c:order val="0"/>
          <c:tx>
            <c:strRef>
              <c:f>Tables!$B$105</c:f>
              <c:strCache>
                <c:ptCount val="1"/>
                <c:pt idx="0">
                  <c:v>2004</c:v>
                </c:pt>
              </c:strCache>
            </c:strRef>
          </c:tx>
          <c:spPr>
            <a:solidFill>
              <a:srgbClr val="7030A0"/>
            </a:solidFill>
            <a:ln>
              <a:noFill/>
            </a:ln>
          </c:spPr>
          <c:invertIfNegative val="0"/>
          <c:val>
            <c:numRef>
              <c:f>Tables!$B$106:$B$115</c:f>
              <c:numCache>
                <c:formatCode>0.0%</c:formatCode>
                <c:ptCount val="10"/>
                <c:pt idx="0">
                  <c:v>0.17647058823529413</c:v>
                </c:pt>
                <c:pt idx="1">
                  <c:v>0.26203208556149732</c:v>
                </c:pt>
                <c:pt idx="2">
                  <c:v>0.17647058823529413</c:v>
                </c:pt>
                <c:pt idx="3">
                  <c:v>9.6256684491978606E-2</c:v>
                </c:pt>
                <c:pt idx="4">
                  <c:v>0.11229946524064172</c:v>
                </c:pt>
                <c:pt idx="5">
                  <c:v>6.4171122994652413E-2</c:v>
                </c:pt>
                <c:pt idx="6">
                  <c:v>5.3475935828877004E-2</c:v>
                </c:pt>
                <c:pt idx="7">
                  <c:v>3.7433155080213901E-2</c:v>
                </c:pt>
                <c:pt idx="8">
                  <c:v>2.1390374331550797E-2</c:v>
                </c:pt>
                <c:pt idx="9">
                  <c:v>0</c:v>
                </c:pt>
              </c:numCache>
            </c:numRef>
          </c:val>
        </c:ser>
        <c:ser>
          <c:idx val="1"/>
          <c:order val="1"/>
          <c:tx>
            <c:strRef>
              <c:f>Tables!$C$105</c:f>
              <c:strCache>
                <c:ptCount val="1"/>
                <c:pt idx="0">
                  <c:v>2007</c:v>
                </c:pt>
              </c:strCache>
            </c:strRef>
          </c:tx>
          <c:spPr>
            <a:solidFill>
              <a:srgbClr val="0070C0"/>
            </a:solidFill>
          </c:spPr>
          <c:invertIfNegative val="0"/>
          <c:dPt>
            <c:idx val="3"/>
            <c:invertIfNegative val="0"/>
            <c:bubble3D val="0"/>
            <c:spPr>
              <a:solidFill>
                <a:srgbClr val="0070C0"/>
              </a:solidFill>
              <a:ln>
                <a:noFill/>
              </a:ln>
            </c:spPr>
          </c:dPt>
          <c:val>
            <c:numRef>
              <c:f>Tables!$C$106:$C$115</c:f>
              <c:numCache>
                <c:formatCode>0.0%</c:formatCode>
                <c:ptCount val="10"/>
                <c:pt idx="0">
                  <c:v>0.19251336898395721</c:v>
                </c:pt>
                <c:pt idx="1">
                  <c:v>0.25668449197860965</c:v>
                </c:pt>
                <c:pt idx="2">
                  <c:v>0.17647058823529413</c:v>
                </c:pt>
                <c:pt idx="3">
                  <c:v>9.0909090909090912E-2</c:v>
                </c:pt>
                <c:pt idx="4">
                  <c:v>9.6256684491978606E-2</c:v>
                </c:pt>
                <c:pt idx="5">
                  <c:v>8.0213903743315509E-2</c:v>
                </c:pt>
                <c:pt idx="6">
                  <c:v>5.3475935828877004E-2</c:v>
                </c:pt>
                <c:pt idx="7">
                  <c:v>2.1390374331550797E-2</c:v>
                </c:pt>
                <c:pt idx="8">
                  <c:v>3.2085561497326207E-2</c:v>
                </c:pt>
                <c:pt idx="9">
                  <c:v>0</c:v>
                </c:pt>
              </c:numCache>
            </c:numRef>
          </c:val>
        </c:ser>
        <c:ser>
          <c:idx val="2"/>
          <c:order val="2"/>
          <c:tx>
            <c:strRef>
              <c:f>Tables!$D$105</c:f>
              <c:strCache>
                <c:ptCount val="1"/>
                <c:pt idx="0">
                  <c:v>2010</c:v>
                </c:pt>
              </c:strCache>
            </c:strRef>
          </c:tx>
          <c:spPr>
            <a:solidFill>
              <a:srgbClr val="00B050"/>
            </a:solidFill>
            <a:ln>
              <a:noFill/>
            </a:ln>
          </c:spPr>
          <c:invertIfNegative val="0"/>
          <c:val>
            <c:numRef>
              <c:f>Tables!$D$106:$D$115</c:f>
              <c:numCache>
                <c:formatCode>0.0%</c:formatCode>
                <c:ptCount val="10"/>
                <c:pt idx="0">
                  <c:v>0.17112299465240641</c:v>
                </c:pt>
                <c:pt idx="1">
                  <c:v>0.28342245989304815</c:v>
                </c:pt>
                <c:pt idx="2">
                  <c:v>0.18716577540106952</c:v>
                </c:pt>
                <c:pt idx="3">
                  <c:v>0.10695187165775401</c:v>
                </c:pt>
                <c:pt idx="4">
                  <c:v>6.4171122994652413E-2</c:v>
                </c:pt>
                <c:pt idx="5">
                  <c:v>7.4866310160427801E-2</c:v>
                </c:pt>
                <c:pt idx="6">
                  <c:v>4.2780748663101602E-2</c:v>
                </c:pt>
                <c:pt idx="7">
                  <c:v>3.7433155080213901E-2</c:v>
                </c:pt>
                <c:pt idx="8">
                  <c:v>3.2085561497326207E-2</c:v>
                </c:pt>
                <c:pt idx="9">
                  <c:v>0</c:v>
                </c:pt>
              </c:numCache>
            </c:numRef>
          </c:val>
        </c:ser>
        <c:ser>
          <c:idx val="3"/>
          <c:order val="3"/>
          <c:tx>
            <c:strRef>
              <c:f>Tables!$E$105</c:f>
              <c:strCache>
                <c:ptCount val="1"/>
                <c:pt idx="0">
                  <c:v>2015</c:v>
                </c:pt>
              </c:strCache>
            </c:strRef>
          </c:tx>
          <c:spPr>
            <a:solidFill>
              <a:srgbClr val="FF0000"/>
            </a:solidFill>
          </c:spPr>
          <c:invertIfNegative val="0"/>
          <c:val>
            <c:numRef>
              <c:f>Tables!$E$106:$E$115</c:f>
              <c:numCache>
                <c:formatCode>0.0%</c:formatCode>
                <c:ptCount val="10"/>
                <c:pt idx="0">
                  <c:v>0.22580645161290322</c:v>
                </c:pt>
                <c:pt idx="1">
                  <c:v>0.24193548387096775</c:v>
                </c:pt>
                <c:pt idx="2">
                  <c:v>0.18279569892473119</c:v>
                </c:pt>
                <c:pt idx="3">
                  <c:v>0.11827956989247312</c:v>
                </c:pt>
                <c:pt idx="4">
                  <c:v>8.0645161290322578E-2</c:v>
                </c:pt>
                <c:pt idx="5">
                  <c:v>3.2258064516129031E-2</c:v>
                </c:pt>
                <c:pt idx="6">
                  <c:v>6.9892473118279563E-2</c:v>
                </c:pt>
                <c:pt idx="7">
                  <c:v>4.8387096774193547E-2</c:v>
                </c:pt>
                <c:pt idx="8">
                  <c:v>0</c:v>
                </c:pt>
                <c:pt idx="9">
                  <c:v>0</c:v>
                </c:pt>
              </c:numCache>
            </c:numRef>
          </c:val>
        </c:ser>
        <c:dLbls>
          <c:showLegendKey val="0"/>
          <c:showVal val="0"/>
          <c:showCatName val="0"/>
          <c:showSerName val="0"/>
          <c:showPercent val="0"/>
          <c:showBubbleSize val="0"/>
        </c:dLbls>
        <c:gapWidth val="50"/>
        <c:axId val="158139136"/>
        <c:axId val="158141056"/>
      </c:barChart>
      <c:catAx>
        <c:axId val="158139136"/>
        <c:scaling>
          <c:orientation val="minMax"/>
        </c:scaling>
        <c:delete val="0"/>
        <c:axPos val="b"/>
        <c:title>
          <c:tx>
            <c:rich>
              <a:bodyPr/>
              <a:lstStyle/>
              <a:p>
                <a:pPr>
                  <a:defRPr sz="1200"/>
                </a:pPr>
                <a:r>
                  <a:rPr lang="en-GB" sz="1200"/>
                  <a:t>National Decile (where 1 is the most deprived)</a:t>
                </a:r>
              </a:p>
            </c:rich>
          </c:tx>
          <c:layout/>
          <c:overlay val="0"/>
        </c:title>
        <c:numFmt formatCode="General" sourceLinked="1"/>
        <c:majorTickMark val="out"/>
        <c:minorTickMark val="none"/>
        <c:tickLblPos val="nextTo"/>
        <c:txPr>
          <a:bodyPr/>
          <a:lstStyle/>
          <a:p>
            <a:pPr>
              <a:defRPr sz="1200"/>
            </a:pPr>
            <a:endParaRPr lang="en-US"/>
          </a:p>
        </c:txPr>
        <c:crossAx val="158141056"/>
        <c:crosses val="autoZero"/>
        <c:auto val="1"/>
        <c:lblAlgn val="ctr"/>
        <c:lblOffset val="100"/>
        <c:noMultiLvlLbl val="0"/>
      </c:catAx>
      <c:valAx>
        <c:axId val="158141056"/>
        <c:scaling>
          <c:orientation val="minMax"/>
          <c:max val="0.30000000000000004"/>
        </c:scaling>
        <c:delete val="0"/>
        <c:axPos val="l"/>
        <c:majorGridlines/>
        <c:title>
          <c:tx>
            <c:rich>
              <a:bodyPr rot="0" vert="horz"/>
              <a:lstStyle/>
              <a:p>
                <a:pPr>
                  <a:defRPr sz="1100"/>
                </a:pPr>
                <a:r>
                  <a:rPr lang="en-GB" sz="1100"/>
                  <a:t>% of</a:t>
                </a:r>
                <a:r>
                  <a:rPr lang="en-GB" sz="1100" baseline="0"/>
                  <a:t> Sandwell LSOAs</a:t>
                </a:r>
                <a:endParaRPr lang="en-GB" sz="1100"/>
              </a:p>
            </c:rich>
          </c:tx>
          <c:layout>
            <c:manualLayout>
              <c:xMode val="edge"/>
              <c:yMode val="edge"/>
              <c:x val="2.3520286914490297E-2"/>
              <c:y val="8.2054369900595003E-2"/>
            </c:manualLayout>
          </c:layout>
          <c:overlay val="0"/>
        </c:title>
        <c:numFmt formatCode="0%" sourceLinked="0"/>
        <c:majorTickMark val="out"/>
        <c:minorTickMark val="none"/>
        <c:tickLblPos val="nextTo"/>
        <c:txPr>
          <a:bodyPr/>
          <a:lstStyle/>
          <a:p>
            <a:pPr>
              <a:defRPr sz="1200"/>
            </a:pPr>
            <a:endParaRPr lang="en-US"/>
          </a:p>
        </c:txPr>
        <c:crossAx val="158139136"/>
        <c:crosses val="autoZero"/>
        <c:crossBetween val="between"/>
      </c:valAx>
      <c:spPr>
        <a:ln>
          <a:solidFill>
            <a:srgbClr val="008000"/>
          </a:solidFill>
        </a:ln>
      </c:spPr>
    </c:plotArea>
    <c:legend>
      <c:legendPos val="r"/>
      <c:layout>
        <c:manualLayout>
          <c:xMode val="edge"/>
          <c:yMode val="edge"/>
          <c:x val="0.75902869801174477"/>
          <c:y val="0.21748521380265831"/>
          <c:w val="9.4937330921327556E-2"/>
          <c:h val="0.2737226948748015"/>
        </c:manualLayout>
      </c:layout>
      <c:overlay val="0"/>
      <c:spPr>
        <a:solidFill>
          <a:schemeClr val="bg1"/>
        </a:solidFill>
        <a:ln>
          <a:solidFill>
            <a:schemeClr val="tx1">
              <a:lumMod val="50000"/>
              <a:lumOff val="50000"/>
            </a:schemeClr>
          </a:solidFill>
        </a:ln>
      </c:spPr>
      <c:txPr>
        <a:bodyPr/>
        <a:lstStyle/>
        <a:p>
          <a:pPr>
            <a:defRPr sz="1200"/>
          </a:pPr>
          <a:endParaRPr lang="en-US"/>
        </a:p>
      </c:txPr>
    </c:legend>
    <c:plotVisOnly val="1"/>
    <c:dispBlanksAs val="gap"/>
    <c:showDLblsOverMax val="0"/>
  </c:chart>
  <c:spPr>
    <a:ln>
      <a:solidFill>
        <a:srgbClr val="008000"/>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IDAOPI in</a:t>
            </a:r>
            <a:r>
              <a:rPr lang="en-GB" baseline="0"/>
              <a:t> Sandwell</a:t>
            </a:r>
            <a:br>
              <a:rPr lang="en-GB" baseline="0"/>
            </a:br>
            <a:r>
              <a:rPr lang="en-GB" baseline="0"/>
              <a:t>by National Decile</a:t>
            </a:r>
            <a:endParaRPr lang="en-GB"/>
          </a:p>
        </c:rich>
      </c:tx>
      <c:layout>
        <c:manualLayout>
          <c:xMode val="edge"/>
          <c:yMode val="edge"/>
          <c:x val="0.33198036006546644"/>
          <c:y val="1.668734165238691E-2"/>
        </c:manualLayout>
      </c:layout>
      <c:overlay val="1"/>
    </c:title>
    <c:autoTitleDeleted val="0"/>
    <c:plotArea>
      <c:layout>
        <c:manualLayout>
          <c:layoutTarget val="inner"/>
          <c:xMode val="edge"/>
          <c:yMode val="edge"/>
          <c:x val="0.1382795665393311"/>
          <c:y val="0.18315989696308088"/>
          <c:w val="0.76533749122943795"/>
          <c:h val="0.6443486583493595"/>
        </c:manualLayout>
      </c:layout>
      <c:barChart>
        <c:barDir val="col"/>
        <c:grouping val="clustered"/>
        <c:varyColors val="0"/>
        <c:ser>
          <c:idx val="0"/>
          <c:order val="0"/>
          <c:tx>
            <c:strRef>
              <c:f>Tables!$B$118</c:f>
              <c:strCache>
                <c:ptCount val="1"/>
                <c:pt idx="0">
                  <c:v>2004</c:v>
                </c:pt>
              </c:strCache>
            </c:strRef>
          </c:tx>
          <c:spPr>
            <a:solidFill>
              <a:srgbClr val="7030A0"/>
            </a:solidFill>
            <a:ln>
              <a:noFill/>
            </a:ln>
          </c:spPr>
          <c:invertIfNegative val="0"/>
          <c:val>
            <c:numRef>
              <c:f>Tables!$B$119:$B$128</c:f>
              <c:numCache>
                <c:formatCode>0.0%</c:formatCode>
                <c:ptCount val="10"/>
                <c:pt idx="0">
                  <c:v>0.27807486631016043</c:v>
                </c:pt>
                <c:pt idx="1">
                  <c:v>0.31550802139037432</c:v>
                </c:pt>
                <c:pt idx="2">
                  <c:v>0.12834224598930483</c:v>
                </c:pt>
                <c:pt idx="3">
                  <c:v>6.4171122994652413E-2</c:v>
                </c:pt>
                <c:pt idx="4">
                  <c:v>9.6256684491978606E-2</c:v>
                </c:pt>
                <c:pt idx="5">
                  <c:v>4.8128342245989303E-2</c:v>
                </c:pt>
                <c:pt idx="6">
                  <c:v>4.2780748663101595E-2</c:v>
                </c:pt>
                <c:pt idx="7">
                  <c:v>2.6737967914438502E-2</c:v>
                </c:pt>
                <c:pt idx="8">
                  <c:v>0</c:v>
                </c:pt>
                <c:pt idx="9">
                  <c:v>0</c:v>
                </c:pt>
              </c:numCache>
            </c:numRef>
          </c:val>
        </c:ser>
        <c:ser>
          <c:idx val="1"/>
          <c:order val="1"/>
          <c:tx>
            <c:strRef>
              <c:f>Tables!$C$118</c:f>
              <c:strCache>
                <c:ptCount val="1"/>
                <c:pt idx="0">
                  <c:v>2007</c:v>
                </c:pt>
              </c:strCache>
            </c:strRef>
          </c:tx>
          <c:spPr>
            <a:solidFill>
              <a:srgbClr val="0070C0"/>
            </a:solidFill>
          </c:spPr>
          <c:invertIfNegative val="0"/>
          <c:dPt>
            <c:idx val="3"/>
            <c:invertIfNegative val="0"/>
            <c:bubble3D val="0"/>
            <c:spPr>
              <a:solidFill>
                <a:srgbClr val="0070C0"/>
              </a:solidFill>
              <a:ln>
                <a:noFill/>
              </a:ln>
            </c:spPr>
          </c:dPt>
          <c:val>
            <c:numRef>
              <c:f>Tables!$C$119:$C$128</c:f>
              <c:numCache>
                <c:formatCode>0.0%</c:formatCode>
                <c:ptCount val="10"/>
                <c:pt idx="0">
                  <c:v>0.30481283422459893</c:v>
                </c:pt>
                <c:pt idx="1">
                  <c:v>0.32620320855614976</c:v>
                </c:pt>
                <c:pt idx="2">
                  <c:v>0.11229946524064172</c:v>
                </c:pt>
                <c:pt idx="3">
                  <c:v>4.2780748663101595E-2</c:v>
                </c:pt>
                <c:pt idx="4">
                  <c:v>0.10160427807486631</c:v>
                </c:pt>
                <c:pt idx="5">
                  <c:v>4.8128342245989303E-2</c:v>
                </c:pt>
                <c:pt idx="6">
                  <c:v>4.2780748663101595E-2</c:v>
                </c:pt>
                <c:pt idx="7">
                  <c:v>1.6042780748663103E-2</c:v>
                </c:pt>
                <c:pt idx="8">
                  <c:v>5.3475935828876994E-3</c:v>
                </c:pt>
                <c:pt idx="9">
                  <c:v>0</c:v>
                </c:pt>
              </c:numCache>
            </c:numRef>
          </c:val>
        </c:ser>
        <c:ser>
          <c:idx val="2"/>
          <c:order val="2"/>
          <c:tx>
            <c:strRef>
              <c:f>Tables!$D$118</c:f>
              <c:strCache>
                <c:ptCount val="1"/>
                <c:pt idx="0">
                  <c:v>2010</c:v>
                </c:pt>
              </c:strCache>
            </c:strRef>
          </c:tx>
          <c:spPr>
            <a:solidFill>
              <a:srgbClr val="00B050"/>
            </a:solidFill>
            <a:ln>
              <a:noFill/>
            </a:ln>
          </c:spPr>
          <c:invertIfNegative val="0"/>
          <c:val>
            <c:numRef>
              <c:f>Tables!$D$119:$D$128</c:f>
              <c:numCache>
                <c:formatCode>0.0%</c:formatCode>
                <c:ptCount val="10"/>
                <c:pt idx="0">
                  <c:v>0.34224598930481281</c:v>
                </c:pt>
                <c:pt idx="1">
                  <c:v>0.30481283422459893</c:v>
                </c:pt>
                <c:pt idx="2">
                  <c:v>0.10160427807486631</c:v>
                </c:pt>
                <c:pt idx="3">
                  <c:v>8.5561497326203204E-2</c:v>
                </c:pt>
                <c:pt idx="4">
                  <c:v>6.4171122994652413E-2</c:v>
                </c:pt>
                <c:pt idx="5">
                  <c:v>4.8128342245989303E-2</c:v>
                </c:pt>
                <c:pt idx="6">
                  <c:v>4.8128342245989303E-2</c:v>
                </c:pt>
                <c:pt idx="7">
                  <c:v>0</c:v>
                </c:pt>
                <c:pt idx="8">
                  <c:v>5.3475935828877002E-3</c:v>
                </c:pt>
                <c:pt idx="9">
                  <c:v>0</c:v>
                </c:pt>
              </c:numCache>
            </c:numRef>
          </c:val>
        </c:ser>
        <c:ser>
          <c:idx val="3"/>
          <c:order val="3"/>
          <c:tx>
            <c:strRef>
              <c:f>Tables!$E$118</c:f>
              <c:strCache>
                <c:ptCount val="1"/>
                <c:pt idx="0">
                  <c:v>2015</c:v>
                </c:pt>
              </c:strCache>
            </c:strRef>
          </c:tx>
          <c:spPr>
            <a:solidFill>
              <a:srgbClr val="FF0000"/>
            </a:solidFill>
          </c:spPr>
          <c:invertIfNegative val="0"/>
          <c:val>
            <c:numRef>
              <c:f>Tables!$E$119:$E$128</c:f>
              <c:numCache>
                <c:formatCode>0.0%</c:formatCode>
                <c:ptCount val="10"/>
                <c:pt idx="0">
                  <c:v>0.25268817204301075</c:v>
                </c:pt>
                <c:pt idx="1">
                  <c:v>0.35483870967741937</c:v>
                </c:pt>
                <c:pt idx="2">
                  <c:v>0.14516129032258066</c:v>
                </c:pt>
                <c:pt idx="3">
                  <c:v>8.0645161290322578E-2</c:v>
                </c:pt>
                <c:pt idx="4">
                  <c:v>6.4516129032258063E-2</c:v>
                </c:pt>
                <c:pt idx="5">
                  <c:v>4.8387096774193547E-2</c:v>
                </c:pt>
                <c:pt idx="6">
                  <c:v>4.3010752688172046E-2</c:v>
                </c:pt>
                <c:pt idx="7">
                  <c:v>5.3763440860215058E-3</c:v>
                </c:pt>
                <c:pt idx="8">
                  <c:v>5.3763440860215058E-3</c:v>
                </c:pt>
                <c:pt idx="9">
                  <c:v>0</c:v>
                </c:pt>
              </c:numCache>
            </c:numRef>
          </c:val>
        </c:ser>
        <c:dLbls>
          <c:showLegendKey val="0"/>
          <c:showVal val="0"/>
          <c:showCatName val="0"/>
          <c:showSerName val="0"/>
          <c:showPercent val="0"/>
          <c:showBubbleSize val="0"/>
        </c:dLbls>
        <c:gapWidth val="50"/>
        <c:axId val="158173056"/>
        <c:axId val="158179328"/>
      </c:barChart>
      <c:catAx>
        <c:axId val="158173056"/>
        <c:scaling>
          <c:orientation val="minMax"/>
        </c:scaling>
        <c:delete val="0"/>
        <c:axPos val="b"/>
        <c:title>
          <c:tx>
            <c:rich>
              <a:bodyPr/>
              <a:lstStyle/>
              <a:p>
                <a:pPr>
                  <a:defRPr sz="1200"/>
                </a:pPr>
                <a:r>
                  <a:rPr lang="en-GB" sz="1200"/>
                  <a:t>National Decile (where 1 is the most deprived)</a:t>
                </a:r>
              </a:p>
            </c:rich>
          </c:tx>
          <c:layout/>
          <c:overlay val="0"/>
        </c:title>
        <c:numFmt formatCode="General" sourceLinked="1"/>
        <c:majorTickMark val="out"/>
        <c:minorTickMark val="none"/>
        <c:tickLblPos val="nextTo"/>
        <c:txPr>
          <a:bodyPr/>
          <a:lstStyle/>
          <a:p>
            <a:pPr>
              <a:defRPr sz="1200"/>
            </a:pPr>
            <a:endParaRPr lang="en-US"/>
          </a:p>
        </c:txPr>
        <c:crossAx val="158179328"/>
        <c:crosses val="autoZero"/>
        <c:auto val="1"/>
        <c:lblAlgn val="ctr"/>
        <c:lblOffset val="100"/>
        <c:noMultiLvlLbl val="0"/>
      </c:catAx>
      <c:valAx>
        <c:axId val="158179328"/>
        <c:scaling>
          <c:orientation val="minMax"/>
          <c:max val="0.4"/>
        </c:scaling>
        <c:delete val="0"/>
        <c:axPos val="l"/>
        <c:majorGridlines/>
        <c:title>
          <c:tx>
            <c:rich>
              <a:bodyPr rot="0" vert="horz"/>
              <a:lstStyle/>
              <a:p>
                <a:pPr>
                  <a:defRPr sz="1100"/>
                </a:pPr>
                <a:r>
                  <a:rPr lang="en-GB" sz="1100"/>
                  <a:t>% of</a:t>
                </a:r>
                <a:r>
                  <a:rPr lang="en-GB" sz="1100" baseline="0"/>
                  <a:t> Sandwell LSOAs</a:t>
                </a:r>
                <a:endParaRPr lang="en-GB" sz="1100"/>
              </a:p>
            </c:rich>
          </c:tx>
          <c:layout>
            <c:manualLayout>
              <c:xMode val="edge"/>
              <c:yMode val="edge"/>
              <c:x val="2.3520321057030374E-2"/>
              <c:y val="4.0463960467124527E-2"/>
            </c:manualLayout>
          </c:layout>
          <c:overlay val="0"/>
        </c:title>
        <c:numFmt formatCode="0%" sourceLinked="0"/>
        <c:majorTickMark val="out"/>
        <c:minorTickMark val="none"/>
        <c:tickLblPos val="nextTo"/>
        <c:txPr>
          <a:bodyPr/>
          <a:lstStyle/>
          <a:p>
            <a:pPr>
              <a:defRPr sz="1200"/>
            </a:pPr>
            <a:endParaRPr lang="en-US"/>
          </a:p>
        </c:txPr>
        <c:crossAx val="158173056"/>
        <c:crosses val="autoZero"/>
        <c:crossBetween val="between"/>
      </c:valAx>
    </c:plotArea>
    <c:legend>
      <c:legendPos val="r"/>
      <c:layout>
        <c:manualLayout>
          <c:xMode val="edge"/>
          <c:yMode val="edge"/>
          <c:x val="0.75902869801174477"/>
          <c:y val="0.21748521380265831"/>
          <c:w val="9.4937330921327556E-2"/>
          <c:h val="0.2737226948748015"/>
        </c:manualLayout>
      </c:layout>
      <c:overlay val="0"/>
      <c:spPr>
        <a:solidFill>
          <a:schemeClr val="bg1"/>
        </a:solidFill>
        <a:ln>
          <a:solidFill>
            <a:schemeClr val="tx1">
              <a:lumMod val="50000"/>
              <a:lumOff val="50000"/>
            </a:schemeClr>
          </a:solidFill>
        </a:ln>
      </c:spPr>
      <c:txPr>
        <a:bodyPr/>
        <a:lstStyle/>
        <a:p>
          <a:pPr>
            <a:defRPr sz="1200"/>
          </a:pPr>
          <a:endParaRPr lang="en-US"/>
        </a:p>
      </c:txPr>
    </c:legend>
    <c:plotVisOnly val="1"/>
    <c:dispBlanksAs val="gap"/>
    <c:showDLblsOverMax val="0"/>
  </c:chart>
  <c:spPr>
    <a:ln>
      <a:solidFill>
        <a:srgbClr val="008000"/>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c1522a0d-8b67-48f3-9f04-651e495f9c50">
  <element uid="e11463c7-63fc-44e1-a920-6aa917cf3177" value=""/>
  <element uid="2cf4db53-e26b-4354-8259-c7e8430ebed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20528-F7A4-4775-B245-3E9D922CB4E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C46E10D-68DC-4A5C-82B0-3A46F3AE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9</Pages>
  <Words>2187</Words>
  <Characters>10666</Characters>
  <Application>Microsoft Office Word</Application>
  <DocSecurity>0</DocSecurity>
  <Lines>628</Lines>
  <Paragraphs>442</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12474</CharactersWithSpaces>
  <SharedDoc>false</SharedDoc>
  <HLinks>
    <vt:vector size="48" baseType="variant">
      <vt:variant>
        <vt:i4>7798844</vt:i4>
      </vt:variant>
      <vt:variant>
        <vt:i4>21</vt:i4>
      </vt:variant>
      <vt:variant>
        <vt:i4>0</vt:i4>
      </vt:variant>
      <vt:variant>
        <vt:i4>5</vt:i4>
      </vt:variant>
      <vt:variant>
        <vt:lpwstr>http://www.sandwelltrends.info/</vt:lpwstr>
      </vt:variant>
      <vt:variant>
        <vt:lpwstr/>
      </vt:variant>
      <vt:variant>
        <vt:i4>3604539</vt:i4>
      </vt:variant>
      <vt:variant>
        <vt:i4>18</vt:i4>
      </vt:variant>
      <vt:variant>
        <vt:i4>0</vt:i4>
      </vt:variant>
      <vt:variant>
        <vt:i4>5</vt:i4>
      </vt:variant>
      <vt:variant>
        <vt:lpwstr>http://www.researchsandwell.org.uk/</vt:lpwstr>
      </vt:variant>
      <vt:variant>
        <vt:lpwstr/>
      </vt:variant>
      <vt:variant>
        <vt:i4>8323193</vt:i4>
      </vt:variant>
      <vt:variant>
        <vt:i4>15</vt:i4>
      </vt:variant>
      <vt:variant>
        <vt:i4>0</vt:i4>
      </vt:variant>
      <vt:variant>
        <vt:i4>5</vt:i4>
      </vt:variant>
      <vt:variant>
        <vt:lpwstr>http://sandwelltrends.info/themedpages/AntiPoverty</vt:lpwstr>
      </vt:variant>
      <vt:variant>
        <vt:lpwstr/>
      </vt:variant>
      <vt:variant>
        <vt:i4>4194376</vt:i4>
      </vt:variant>
      <vt:variant>
        <vt:i4>12</vt:i4>
      </vt:variant>
      <vt:variant>
        <vt:i4>0</vt:i4>
      </vt:variant>
      <vt:variant>
        <vt:i4>5</vt:i4>
      </vt:variant>
      <vt:variant>
        <vt:lpwstr>http://www.sandwelltrends.info/lisv2/navigation/imd.asp?ACTION=RD&amp;DISPLAY=M&amp;RD=maps&amp;AOI=7</vt:lpwstr>
      </vt:variant>
      <vt:variant>
        <vt:lpwstr/>
      </vt:variant>
      <vt:variant>
        <vt:i4>7995500</vt:i4>
      </vt:variant>
      <vt:variant>
        <vt:i4>9</vt:i4>
      </vt:variant>
      <vt:variant>
        <vt:i4>0</vt:i4>
      </vt:variant>
      <vt:variant>
        <vt:i4>5</vt:i4>
      </vt:variant>
      <vt:variant>
        <vt:lpwstr>http://www.sandwelltrends.info/LISV2/navigation/imd.asp?QUERYID=478</vt:lpwstr>
      </vt:variant>
      <vt:variant>
        <vt:lpwstr/>
      </vt:variant>
      <vt:variant>
        <vt:i4>7995500</vt:i4>
      </vt:variant>
      <vt:variant>
        <vt:i4>6</vt:i4>
      </vt:variant>
      <vt:variant>
        <vt:i4>0</vt:i4>
      </vt:variant>
      <vt:variant>
        <vt:i4>5</vt:i4>
      </vt:variant>
      <vt:variant>
        <vt:lpwstr>http://www.sandwelltrends.info/LISV2/navigation/imd.asp?QUERYID=479</vt:lpwstr>
      </vt:variant>
      <vt:variant>
        <vt:lpwstr/>
      </vt:variant>
      <vt:variant>
        <vt:i4>7995500</vt:i4>
      </vt:variant>
      <vt:variant>
        <vt:i4>3</vt:i4>
      </vt:variant>
      <vt:variant>
        <vt:i4>0</vt:i4>
      </vt:variant>
      <vt:variant>
        <vt:i4>5</vt:i4>
      </vt:variant>
      <vt:variant>
        <vt:lpwstr>http://www.sandwelltrends.info/LISV2/navigation/imd.asp?QUERYID=476</vt:lpwstr>
      </vt:variant>
      <vt:variant>
        <vt:lpwstr/>
      </vt:variant>
      <vt:variant>
        <vt:i4>6750266</vt:i4>
      </vt:variant>
      <vt:variant>
        <vt:i4>0</vt:i4>
      </vt:variant>
      <vt:variant>
        <vt:i4>0</vt:i4>
      </vt:variant>
      <vt:variant>
        <vt:i4>5</vt:i4>
      </vt:variant>
      <vt:variant>
        <vt:lpwstr>http://www.sandwelltrends.info/lisv2/briefingnotes/Technical_Note_1_Area_Definitions_in_Sandwell.pdf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grajania</dc:creator>
  <cp:keywords>[IL0: UNCLASSIFIED]</cp:keywords>
  <cp:lastModifiedBy>Richard Cooksey</cp:lastModifiedBy>
  <cp:revision>12</cp:revision>
  <cp:lastPrinted>2018-06-07T10:43:00Z</cp:lastPrinted>
  <dcterms:created xsi:type="dcterms:W3CDTF">2018-05-22T15:40:00Z</dcterms:created>
  <dcterms:modified xsi:type="dcterms:W3CDTF">2018-06-07T12:21:00Z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dd318741-65a3-4554-94b6-92af2c18d1e3</vt:lpwstr>
  </property>
  <property fmtid="{D5CDD505-2E9C-101B-9397-08002B2CF9AE}" pid="3" name="bjSaver">
    <vt:lpwstr>dQeJDuOjNOBnIOpQmQT42mjBh1SEVQf2</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uid="e11463c7-63fc-44e1-a920-6aa917cf3177" value="" /&gt;&lt;element uid="2cf4db53-e26b-4354-8259-c7e8430ebed9" value="" /&gt;&lt;/sisl&gt;</vt:lpwstr>
  </property>
  <property fmtid="{D5CDD505-2E9C-101B-9397-08002B2CF9AE}" pid="6" name="bjDocumentSecurityLabel">
    <vt:lpwstr>IL0: UNCLASSIFIED</vt:lpwstr>
  </property>
  <property fmtid="{D5CDD505-2E9C-101B-9397-08002B2CF9AE}" pid="7" name="docprop-sandwellprotectivemarking">
    <vt:lpwstr>[IL0: UNCLASSIFIED]</vt:lpwstr>
  </property>
</Properties>
</file>