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151D" w14:textId="7FD6A584" w:rsidR="0035575E" w:rsidRDefault="00E86C66">
      <w:pPr>
        <w:spacing w:after="160" w:line="259" w:lineRule="auto"/>
        <w:rPr>
          <w:sz w:val="48"/>
          <w:szCs w:val="48"/>
        </w:rPr>
      </w:pPr>
      <w:bookmarkStart w:id="0" w:name="_Hlk102574280"/>
      <w:bookmarkEnd w:id="0"/>
      <w:r>
        <w:rPr>
          <w:noProof/>
          <w:sz w:val="48"/>
          <w:szCs w:val="48"/>
        </w:rPr>
        <w:drawing>
          <wp:anchor distT="0" distB="0" distL="114300" distR="114300" simplePos="0" relativeHeight="251658254" behindDoc="1" locked="0" layoutInCell="1" allowOverlap="1" wp14:anchorId="27297657" wp14:editId="03383C7F">
            <wp:simplePos x="0" y="0"/>
            <wp:positionH relativeFrom="column">
              <wp:posOffset>3566160</wp:posOffset>
            </wp:positionH>
            <wp:positionV relativeFrom="paragraph">
              <wp:posOffset>0</wp:posOffset>
            </wp:positionV>
            <wp:extent cx="2188210" cy="582930"/>
            <wp:effectExtent l="0" t="0" r="2540" b="7620"/>
            <wp:wrapTight wrapText="bothSides">
              <wp:wrapPolygon edited="0">
                <wp:start x="0" y="0"/>
                <wp:lineTo x="0" y="21176"/>
                <wp:lineTo x="21437" y="21176"/>
                <wp:lineTo x="21437"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dwell_mbc_col_small.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210" cy="582930"/>
                    </a:xfrm>
                    <a:prstGeom prst="rect">
                      <a:avLst/>
                    </a:prstGeom>
                  </pic:spPr>
                </pic:pic>
              </a:graphicData>
            </a:graphic>
            <wp14:sizeRelH relativeFrom="margin">
              <wp14:pctWidth>0</wp14:pctWidth>
            </wp14:sizeRelH>
            <wp14:sizeRelV relativeFrom="margin">
              <wp14:pctHeight>0</wp14:pctHeight>
            </wp14:sizeRelV>
          </wp:anchor>
        </w:drawing>
      </w:r>
      <w:r>
        <w:rPr>
          <w:noProof/>
          <w:sz w:val="48"/>
          <w:szCs w:val="48"/>
        </w:rPr>
        <w:drawing>
          <wp:anchor distT="0" distB="0" distL="114300" distR="114300" simplePos="0" relativeHeight="251658252" behindDoc="1" locked="0" layoutInCell="1" allowOverlap="1" wp14:anchorId="13FD3031" wp14:editId="1F7575DB">
            <wp:simplePos x="0" y="0"/>
            <wp:positionH relativeFrom="column">
              <wp:posOffset>-449580</wp:posOffset>
            </wp:positionH>
            <wp:positionV relativeFrom="paragraph">
              <wp:posOffset>678180</wp:posOffset>
            </wp:positionV>
            <wp:extent cx="3017520" cy="1207135"/>
            <wp:effectExtent l="0" t="0" r="0" b="0"/>
            <wp:wrapTight wrapText="bothSides">
              <wp:wrapPolygon edited="0">
                <wp:start x="0" y="0"/>
                <wp:lineTo x="0" y="21134"/>
                <wp:lineTo x="21409" y="21134"/>
                <wp:lineTo x="21409"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1207135"/>
                    </a:xfrm>
                    <a:prstGeom prst="rect">
                      <a:avLst/>
                    </a:prstGeom>
                    <a:noFill/>
                  </pic:spPr>
                </pic:pic>
              </a:graphicData>
            </a:graphic>
          </wp:anchor>
        </w:drawing>
      </w:r>
      <w:r w:rsidR="0035575E">
        <w:rPr>
          <w:noProof/>
          <w:sz w:val="48"/>
          <w:szCs w:val="48"/>
        </w:rPr>
        <w:drawing>
          <wp:inline distT="0" distB="0" distL="0" distR="0" wp14:anchorId="29817B8B" wp14:editId="7837225B">
            <wp:extent cx="2316480" cy="536575"/>
            <wp:effectExtent l="0" t="0" r="762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536575"/>
                    </a:xfrm>
                    <a:prstGeom prst="rect">
                      <a:avLst/>
                    </a:prstGeom>
                    <a:noFill/>
                  </pic:spPr>
                </pic:pic>
              </a:graphicData>
            </a:graphic>
          </wp:inline>
        </w:drawing>
      </w:r>
    </w:p>
    <w:p w14:paraId="570D3063" w14:textId="67C0DFF5" w:rsidR="0035575E" w:rsidRDefault="00E86C66">
      <w:pPr>
        <w:spacing w:after="160" w:line="259" w:lineRule="auto"/>
        <w:rPr>
          <w:sz w:val="48"/>
          <w:szCs w:val="48"/>
        </w:rPr>
      </w:pPr>
      <w:r>
        <w:rPr>
          <w:noProof/>
          <w:sz w:val="48"/>
          <w:szCs w:val="48"/>
        </w:rPr>
        <w:drawing>
          <wp:anchor distT="0" distB="0" distL="114300" distR="114300" simplePos="0" relativeHeight="251658251" behindDoc="1" locked="0" layoutInCell="1" allowOverlap="1" wp14:anchorId="173E0DF9" wp14:editId="762DFF0E">
            <wp:simplePos x="0" y="0"/>
            <wp:positionH relativeFrom="column">
              <wp:posOffset>3208020</wp:posOffset>
            </wp:positionH>
            <wp:positionV relativeFrom="paragraph">
              <wp:posOffset>346075</wp:posOffset>
            </wp:positionV>
            <wp:extent cx="2621280" cy="646430"/>
            <wp:effectExtent l="0" t="0" r="7620" b="1270"/>
            <wp:wrapTight wrapText="bothSides">
              <wp:wrapPolygon edited="0">
                <wp:start x="0" y="0"/>
                <wp:lineTo x="0" y="21006"/>
                <wp:lineTo x="21506" y="21006"/>
                <wp:lineTo x="21506"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646430"/>
                    </a:xfrm>
                    <a:prstGeom prst="rect">
                      <a:avLst/>
                    </a:prstGeom>
                    <a:noFill/>
                  </pic:spPr>
                </pic:pic>
              </a:graphicData>
            </a:graphic>
          </wp:anchor>
        </w:drawing>
      </w:r>
    </w:p>
    <w:p w14:paraId="76552FA0" w14:textId="236D235F" w:rsidR="0035575E" w:rsidRDefault="0035575E">
      <w:pPr>
        <w:spacing w:after="160" w:line="259" w:lineRule="auto"/>
        <w:rPr>
          <w:sz w:val="48"/>
          <w:szCs w:val="48"/>
        </w:rPr>
      </w:pPr>
    </w:p>
    <w:p w14:paraId="48DF033D" w14:textId="77777777" w:rsidR="0035575E" w:rsidRDefault="0035575E" w:rsidP="0035575E">
      <w:pPr>
        <w:spacing w:after="160" w:line="259" w:lineRule="auto"/>
        <w:jc w:val="center"/>
        <w:rPr>
          <w:rFonts w:eastAsiaTheme="majorEastAsia" w:cstheme="majorBidi"/>
          <w:color w:val="2F5496" w:themeColor="accent1" w:themeShade="BF"/>
          <w:sz w:val="72"/>
          <w:szCs w:val="72"/>
        </w:rPr>
      </w:pPr>
    </w:p>
    <w:p w14:paraId="50506430" w14:textId="77777777" w:rsidR="0035575E" w:rsidRDefault="0035575E" w:rsidP="0035575E">
      <w:pPr>
        <w:spacing w:after="160" w:line="259" w:lineRule="auto"/>
        <w:jc w:val="center"/>
        <w:rPr>
          <w:rFonts w:eastAsiaTheme="majorEastAsia" w:cstheme="majorBidi"/>
          <w:color w:val="2F5496" w:themeColor="accent1" w:themeShade="BF"/>
          <w:sz w:val="72"/>
          <w:szCs w:val="72"/>
        </w:rPr>
      </w:pPr>
    </w:p>
    <w:p w14:paraId="0B86BB56" w14:textId="53C97DF7" w:rsidR="00E86C66" w:rsidRDefault="0035575E" w:rsidP="00044E39">
      <w:pPr>
        <w:spacing w:after="160" w:line="259" w:lineRule="auto"/>
        <w:jc w:val="center"/>
        <w:rPr>
          <w:sz w:val="48"/>
          <w:szCs w:val="48"/>
        </w:rPr>
      </w:pPr>
      <w:r w:rsidRPr="0035575E">
        <w:rPr>
          <w:rFonts w:eastAsiaTheme="majorEastAsia" w:cstheme="majorBidi"/>
          <w:color w:val="2F5496" w:themeColor="accent1" w:themeShade="BF"/>
          <w:sz w:val="72"/>
          <w:szCs w:val="72"/>
        </w:rPr>
        <w:t xml:space="preserve">Sandwell 0-19/25’s JSNA </w:t>
      </w:r>
      <w:r w:rsidRPr="0035575E">
        <w:rPr>
          <w:rFonts w:eastAsiaTheme="majorEastAsia" w:cstheme="majorBidi"/>
          <w:color w:val="2F5496" w:themeColor="accent1" w:themeShade="BF"/>
          <w:sz w:val="72"/>
          <w:szCs w:val="72"/>
        </w:rPr>
        <w:br/>
        <w:t>202</w:t>
      </w:r>
      <w:r w:rsidR="00E86C66">
        <w:rPr>
          <w:rFonts w:eastAsiaTheme="majorEastAsia" w:cstheme="majorBidi"/>
          <w:color w:val="2F5496" w:themeColor="accent1" w:themeShade="BF"/>
          <w:sz w:val="72"/>
          <w:szCs w:val="72"/>
        </w:rPr>
        <w:t>2</w:t>
      </w:r>
      <w:r w:rsidR="00BB7CE5">
        <w:rPr>
          <w:rFonts w:eastAsiaTheme="majorEastAsia" w:cstheme="majorBidi"/>
          <w:color w:val="2F5496" w:themeColor="accent1" w:themeShade="BF"/>
          <w:sz w:val="72"/>
          <w:szCs w:val="72"/>
        </w:rPr>
        <w:t xml:space="preserve"> </w:t>
      </w:r>
    </w:p>
    <w:p w14:paraId="4957D85B" w14:textId="66DAD814" w:rsidR="0035575E" w:rsidRDefault="0035575E" w:rsidP="00E86C66">
      <w:pPr>
        <w:spacing w:after="60" w:line="259" w:lineRule="auto"/>
        <w:rPr>
          <w:color w:val="2F5496" w:themeColor="accent1" w:themeShade="BF"/>
          <w:sz w:val="48"/>
          <w:szCs w:val="48"/>
        </w:rPr>
      </w:pPr>
      <w:r>
        <w:rPr>
          <w:sz w:val="48"/>
          <w:szCs w:val="48"/>
        </w:rPr>
        <w:t xml:space="preserve">Section One: </w:t>
      </w:r>
      <w:r w:rsidRPr="0035575E">
        <w:rPr>
          <w:color w:val="2F5496" w:themeColor="accent1" w:themeShade="BF"/>
          <w:sz w:val="48"/>
          <w:szCs w:val="48"/>
        </w:rPr>
        <w:t>Sandwell 0-5’s JSNA</w:t>
      </w:r>
    </w:p>
    <w:p w14:paraId="74A067BB" w14:textId="3EE47649" w:rsidR="00E86C66" w:rsidRDefault="00E86C66" w:rsidP="00E86C66">
      <w:pPr>
        <w:tabs>
          <w:tab w:val="left" w:pos="2694"/>
        </w:tabs>
        <w:spacing w:after="60" w:line="259" w:lineRule="auto"/>
        <w:rPr>
          <w:sz w:val="48"/>
          <w:szCs w:val="48"/>
        </w:rPr>
      </w:pPr>
      <w:r>
        <w:rPr>
          <w:color w:val="2F5496" w:themeColor="accent1" w:themeShade="BF"/>
          <w:sz w:val="48"/>
          <w:szCs w:val="48"/>
        </w:rPr>
        <w:tab/>
        <w:t>Pages 1-93</w:t>
      </w:r>
    </w:p>
    <w:p w14:paraId="389F5536" w14:textId="77777777" w:rsidR="0035575E" w:rsidRDefault="0035575E" w:rsidP="0035575E">
      <w:pPr>
        <w:spacing w:after="160" w:line="259" w:lineRule="auto"/>
        <w:rPr>
          <w:sz w:val="48"/>
          <w:szCs w:val="48"/>
        </w:rPr>
      </w:pPr>
    </w:p>
    <w:p w14:paraId="4A1406A8" w14:textId="24F0292E" w:rsidR="0035575E" w:rsidRDefault="0035575E" w:rsidP="00E86C66">
      <w:pPr>
        <w:tabs>
          <w:tab w:val="left" w:pos="2694"/>
        </w:tabs>
        <w:spacing w:after="60" w:line="259" w:lineRule="auto"/>
        <w:rPr>
          <w:color w:val="2F5496" w:themeColor="accent1" w:themeShade="BF"/>
          <w:sz w:val="48"/>
          <w:szCs w:val="48"/>
        </w:rPr>
      </w:pPr>
      <w:r>
        <w:rPr>
          <w:sz w:val="48"/>
          <w:szCs w:val="48"/>
        </w:rPr>
        <w:t xml:space="preserve">Section Two: </w:t>
      </w:r>
      <w:r w:rsidRPr="0035575E">
        <w:rPr>
          <w:color w:val="2F5496" w:themeColor="accent1" w:themeShade="BF"/>
          <w:sz w:val="48"/>
          <w:szCs w:val="48"/>
        </w:rPr>
        <w:t xml:space="preserve">Sandwell 5-19/25 JSNA </w:t>
      </w:r>
    </w:p>
    <w:p w14:paraId="39C8B22F" w14:textId="248FAEF8" w:rsidR="00E86C66" w:rsidRDefault="00E86C66" w:rsidP="00E86C66">
      <w:pPr>
        <w:tabs>
          <w:tab w:val="left" w:pos="2694"/>
        </w:tabs>
        <w:spacing w:after="60" w:line="259" w:lineRule="auto"/>
        <w:rPr>
          <w:sz w:val="48"/>
          <w:szCs w:val="48"/>
        </w:rPr>
      </w:pPr>
      <w:r>
        <w:rPr>
          <w:color w:val="2F5496" w:themeColor="accent1" w:themeShade="BF"/>
          <w:sz w:val="48"/>
          <w:szCs w:val="48"/>
        </w:rPr>
        <w:tab/>
        <w:t xml:space="preserve">Pages 94 - </w:t>
      </w:r>
      <w:r w:rsidR="007B340E">
        <w:rPr>
          <w:color w:val="2F5496" w:themeColor="accent1" w:themeShade="BF"/>
          <w:sz w:val="48"/>
          <w:szCs w:val="48"/>
        </w:rPr>
        <w:t>106</w:t>
      </w:r>
    </w:p>
    <w:p w14:paraId="3DDAE249" w14:textId="1127E2A3" w:rsidR="0035575E" w:rsidRDefault="0035575E" w:rsidP="0035575E">
      <w:pPr>
        <w:spacing w:after="160" w:line="259" w:lineRule="auto"/>
        <w:jc w:val="center"/>
        <w:rPr>
          <w:rFonts w:eastAsiaTheme="majorEastAsia" w:cstheme="majorBidi"/>
          <w:color w:val="2F5496" w:themeColor="accent1" w:themeShade="BF"/>
          <w:sz w:val="72"/>
          <w:szCs w:val="72"/>
        </w:rPr>
      </w:pPr>
    </w:p>
    <w:p w14:paraId="422E5212" w14:textId="060F41A0" w:rsidR="0035575E" w:rsidRDefault="0035575E" w:rsidP="0035575E">
      <w:pPr>
        <w:spacing w:after="160" w:line="259" w:lineRule="auto"/>
        <w:jc w:val="center"/>
        <w:rPr>
          <w:rFonts w:eastAsiaTheme="majorEastAsia" w:cstheme="majorBidi"/>
          <w:color w:val="2F5496" w:themeColor="accent1" w:themeShade="BF"/>
          <w:sz w:val="72"/>
          <w:szCs w:val="72"/>
        </w:rPr>
      </w:pPr>
    </w:p>
    <w:p w14:paraId="21695D71" w14:textId="25E27715" w:rsidR="00553F26" w:rsidRDefault="0035575E" w:rsidP="0035575E">
      <w:pPr>
        <w:spacing w:after="160" w:line="259" w:lineRule="auto"/>
        <w:rPr>
          <w:sz w:val="48"/>
          <w:szCs w:val="48"/>
        </w:rPr>
      </w:pPr>
      <w:r>
        <w:rPr>
          <w:sz w:val="48"/>
          <w:szCs w:val="48"/>
        </w:rPr>
        <w:t xml:space="preserve"> </w:t>
      </w:r>
    </w:p>
    <w:p w14:paraId="4284403F" w14:textId="1D0B51B9" w:rsidR="00553F26" w:rsidRDefault="00553F26" w:rsidP="00553F26">
      <w:pPr>
        <w:pStyle w:val="TOCHeading"/>
        <w:jc w:val="center"/>
        <w:rPr>
          <w:sz w:val="48"/>
          <w:szCs w:val="48"/>
        </w:rPr>
      </w:pPr>
    </w:p>
    <w:p w14:paraId="31EAA8FB" w14:textId="4D275A5A" w:rsidR="00DA4199" w:rsidRDefault="00DA4199" w:rsidP="00553F26">
      <w:pPr>
        <w:pStyle w:val="TOCHeading"/>
        <w:jc w:val="center"/>
        <w:rPr>
          <w:sz w:val="48"/>
          <w:szCs w:val="48"/>
        </w:rPr>
      </w:pPr>
    </w:p>
    <w:p w14:paraId="375EF08D" w14:textId="503F21C5" w:rsidR="0035575E" w:rsidRDefault="0035575E" w:rsidP="0035575E"/>
    <w:p w14:paraId="20FF6686" w14:textId="77777777" w:rsidR="0035575E" w:rsidRPr="0035575E" w:rsidRDefault="0035575E" w:rsidP="0035575E"/>
    <w:p w14:paraId="79C21A97" w14:textId="26830247" w:rsidR="00DA4199" w:rsidRDefault="00DA4199" w:rsidP="00DA4199"/>
    <w:p w14:paraId="6646B9C5" w14:textId="42519502" w:rsidR="0035575E" w:rsidRDefault="0035575E" w:rsidP="00DA4199"/>
    <w:p w14:paraId="4ECE35E2" w14:textId="77777777" w:rsidR="0035575E" w:rsidRDefault="0035575E" w:rsidP="00DA4199"/>
    <w:p w14:paraId="0AFB152B" w14:textId="77777777" w:rsidR="00DA4199" w:rsidRPr="00DA4199" w:rsidRDefault="00DA4199" w:rsidP="00DA4199"/>
    <w:p w14:paraId="3CB2E06D" w14:textId="06A297F4" w:rsidR="00553F26" w:rsidRPr="00DA4199" w:rsidRDefault="0035575E" w:rsidP="00553F26">
      <w:pPr>
        <w:pStyle w:val="TOCHeading"/>
        <w:jc w:val="center"/>
        <w:rPr>
          <w:sz w:val="72"/>
          <w:szCs w:val="72"/>
        </w:rPr>
      </w:pPr>
      <w:r>
        <w:rPr>
          <w:sz w:val="48"/>
          <w:szCs w:val="48"/>
        </w:rPr>
        <w:t>Section One:</w:t>
      </w:r>
      <w:r w:rsidR="00553F26">
        <w:rPr>
          <w:sz w:val="48"/>
          <w:szCs w:val="48"/>
        </w:rPr>
        <w:br/>
      </w:r>
      <w:bookmarkStart w:id="1" w:name="_Hlk102562665"/>
      <w:r w:rsidR="00553F26" w:rsidRPr="0035575E">
        <w:rPr>
          <w:sz w:val="72"/>
          <w:szCs w:val="72"/>
        </w:rPr>
        <w:t xml:space="preserve">Sandwell </w:t>
      </w:r>
      <w:r w:rsidR="00B3562C" w:rsidRPr="0035575E">
        <w:rPr>
          <w:sz w:val="72"/>
          <w:szCs w:val="72"/>
        </w:rPr>
        <w:t>0-5</w:t>
      </w:r>
      <w:r w:rsidR="00553F26" w:rsidRPr="0035575E">
        <w:rPr>
          <w:sz w:val="72"/>
          <w:szCs w:val="72"/>
        </w:rPr>
        <w:t>’s</w:t>
      </w:r>
      <w:r w:rsidR="00B3562C" w:rsidRPr="0035575E">
        <w:rPr>
          <w:sz w:val="72"/>
          <w:szCs w:val="72"/>
        </w:rPr>
        <w:t xml:space="preserve"> </w:t>
      </w:r>
      <w:r w:rsidR="00553F26" w:rsidRPr="0035575E">
        <w:rPr>
          <w:sz w:val="72"/>
          <w:szCs w:val="72"/>
        </w:rPr>
        <w:t xml:space="preserve">JSNA </w:t>
      </w:r>
      <w:r w:rsidR="00553F26" w:rsidRPr="0035575E">
        <w:rPr>
          <w:sz w:val="72"/>
          <w:szCs w:val="72"/>
        </w:rPr>
        <w:br/>
        <w:t>202</w:t>
      </w:r>
      <w:r w:rsidR="00E86C66">
        <w:rPr>
          <w:sz w:val="72"/>
          <w:szCs w:val="72"/>
        </w:rPr>
        <w:t>2</w:t>
      </w:r>
      <w:bookmarkEnd w:id="1"/>
    </w:p>
    <w:p w14:paraId="465AF230" w14:textId="77777777" w:rsidR="00553F26" w:rsidRPr="00553F26" w:rsidRDefault="00553F26" w:rsidP="00553F26"/>
    <w:p w14:paraId="2C18A9A1" w14:textId="77777777" w:rsidR="00B3562C" w:rsidRDefault="00B3562C" w:rsidP="00B3562C">
      <w:pPr>
        <w:pStyle w:val="TOCHeading"/>
      </w:pPr>
    </w:p>
    <w:p w14:paraId="49303DD6" w14:textId="77777777" w:rsidR="00B3562C" w:rsidRDefault="00B3562C" w:rsidP="00B3562C">
      <w:pPr>
        <w:pStyle w:val="TOCHeading"/>
      </w:pPr>
    </w:p>
    <w:p w14:paraId="39E984B4" w14:textId="77777777" w:rsidR="00B3562C" w:rsidRDefault="00B3562C" w:rsidP="00B3562C">
      <w:pPr>
        <w:pStyle w:val="TOCHeading"/>
      </w:pPr>
    </w:p>
    <w:p w14:paraId="4E94AD9B" w14:textId="77777777" w:rsidR="00B3562C" w:rsidRDefault="00B3562C" w:rsidP="00B3562C">
      <w:pPr>
        <w:pStyle w:val="TOCHeading"/>
      </w:pPr>
    </w:p>
    <w:p w14:paraId="38D4E056" w14:textId="77777777" w:rsidR="00B3562C" w:rsidRDefault="00B3562C" w:rsidP="00B3562C">
      <w:pPr>
        <w:pStyle w:val="TOCHeading"/>
      </w:pPr>
    </w:p>
    <w:p w14:paraId="59AF1297" w14:textId="0B94B1EE" w:rsidR="00B3562C" w:rsidRDefault="00B3562C" w:rsidP="00B3562C">
      <w:pPr>
        <w:pStyle w:val="TOCHeading"/>
      </w:pPr>
    </w:p>
    <w:p w14:paraId="627AC0E4" w14:textId="1A46C4F8" w:rsidR="00DA4199" w:rsidRDefault="00DA4199" w:rsidP="00DA4199"/>
    <w:p w14:paraId="27FF2547" w14:textId="77777777" w:rsidR="00DA4199" w:rsidRPr="00DA4199" w:rsidRDefault="00DA4199" w:rsidP="00DA4199"/>
    <w:p w14:paraId="4D56EBC0" w14:textId="77777777" w:rsidR="00DA4199" w:rsidRDefault="00DA4199" w:rsidP="00DA4199">
      <w:pPr>
        <w:jc w:val="right"/>
        <w:rPr>
          <w:noProof/>
        </w:rPr>
      </w:pPr>
    </w:p>
    <w:p w14:paraId="6220BDF1" w14:textId="77777777" w:rsidR="00DA4199" w:rsidRDefault="00DA4199" w:rsidP="00DA4199">
      <w:pPr>
        <w:jc w:val="right"/>
        <w:rPr>
          <w:noProof/>
        </w:rPr>
      </w:pPr>
    </w:p>
    <w:p w14:paraId="3E1CBD71" w14:textId="105C5C82" w:rsidR="00C24C81" w:rsidRDefault="00DA4199" w:rsidP="00DA4199">
      <w:pPr>
        <w:jc w:val="right"/>
        <w:rPr>
          <w:noProof/>
        </w:rPr>
      </w:pPr>
      <w:r>
        <w:rPr>
          <w:noProof/>
        </w:rPr>
        <w:t>Published September 2020</w:t>
      </w:r>
      <w:r w:rsidR="00366EEC">
        <w:rPr>
          <w:noProof/>
        </w:rPr>
        <w:br w:type="page"/>
      </w:r>
    </w:p>
    <w:p w14:paraId="5EF832F0" w14:textId="2C51A95A" w:rsidR="00C24C81" w:rsidRDefault="00C24C81" w:rsidP="00C24C81">
      <w:pPr>
        <w:pStyle w:val="Heading1"/>
        <w:rPr>
          <w:noProof/>
        </w:rPr>
      </w:pPr>
      <w:r>
        <w:rPr>
          <w:noProof/>
        </w:rPr>
        <w:lastRenderedPageBreak/>
        <w:t>Acknowledgements</w:t>
      </w:r>
    </w:p>
    <w:p w14:paraId="229D5881" w14:textId="77777777" w:rsidR="00C24C81" w:rsidRDefault="00C24C81" w:rsidP="002A3BC1">
      <w:pPr>
        <w:rPr>
          <w:noProof/>
        </w:rPr>
      </w:pPr>
    </w:p>
    <w:p w14:paraId="53DAB131" w14:textId="7A6C2A3D" w:rsidR="00C24C81" w:rsidRPr="00C24C81" w:rsidRDefault="00C24C81" w:rsidP="002A3BC1">
      <w:pPr>
        <w:rPr>
          <w:rFonts w:cstheme="minorHAnsi"/>
          <w:noProof/>
          <w:sz w:val="24"/>
          <w:szCs w:val="24"/>
        </w:rPr>
      </w:pPr>
      <w:r w:rsidRPr="00C24C81">
        <w:rPr>
          <w:rFonts w:cstheme="minorHAnsi"/>
          <w:noProof/>
          <w:sz w:val="24"/>
          <w:szCs w:val="24"/>
        </w:rPr>
        <w:t xml:space="preserve">This document has been produced by Research Sandwell within Public Health on behalf of and in conjunction with Sandwell’s </w:t>
      </w:r>
      <w:r w:rsidRPr="00C24C81">
        <w:rPr>
          <w:rFonts w:cstheme="minorHAnsi"/>
          <w:sz w:val="24"/>
          <w:szCs w:val="24"/>
          <w:lang w:val="en"/>
        </w:rPr>
        <w:t>Early Years Transformation Academy members:</w:t>
      </w:r>
    </w:p>
    <w:p w14:paraId="5B61961F" w14:textId="77777777" w:rsidR="00C24C81" w:rsidRPr="00C24C81" w:rsidRDefault="00C24C81" w:rsidP="002A3BC1">
      <w:pPr>
        <w:rPr>
          <w:rFonts w:cstheme="minorHAnsi"/>
          <w:noProof/>
          <w:sz w:val="24"/>
          <w:szCs w:val="24"/>
        </w:rPr>
      </w:pPr>
    </w:p>
    <w:p w14:paraId="4700FBEF" w14:textId="72C71AF1" w:rsidR="002A3BC1" w:rsidRPr="00C24C81" w:rsidRDefault="002A3BC1" w:rsidP="00C24C81">
      <w:pPr>
        <w:spacing w:after="0"/>
        <w:rPr>
          <w:rFonts w:eastAsiaTheme="minorHAnsi" w:cstheme="minorHAnsi"/>
          <w:b/>
          <w:bCs/>
          <w:sz w:val="24"/>
          <w:szCs w:val="24"/>
        </w:rPr>
      </w:pPr>
      <w:r w:rsidRPr="00C24C81">
        <w:rPr>
          <w:rFonts w:cstheme="minorHAnsi"/>
          <w:b/>
          <w:bCs/>
          <w:sz w:val="24"/>
          <w:szCs w:val="24"/>
        </w:rPr>
        <w:t>Sandwell MBC</w:t>
      </w:r>
    </w:p>
    <w:p w14:paraId="0BCDCFDA" w14:textId="77777777" w:rsidR="002A3BC1" w:rsidRPr="00C24C81" w:rsidRDefault="002A3BC1" w:rsidP="00C24C81">
      <w:pPr>
        <w:spacing w:after="0"/>
        <w:rPr>
          <w:rFonts w:cstheme="minorHAnsi"/>
          <w:sz w:val="24"/>
          <w:szCs w:val="24"/>
        </w:rPr>
      </w:pPr>
      <w:r w:rsidRPr="00C24C81">
        <w:rPr>
          <w:rFonts w:cstheme="minorHAnsi"/>
          <w:sz w:val="24"/>
          <w:szCs w:val="24"/>
        </w:rPr>
        <w:t>Lesley Hagger</w:t>
      </w:r>
    </w:p>
    <w:p w14:paraId="71AB915E" w14:textId="77777777" w:rsidR="002A3BC1" w:rsidRPr="00C24C81" w:rsidRDefault="002A3BC1" w:rsidP="00C24C81">
      <w:pPr>
        <w:spacing w:after="0"/>
        <w:rPr>
          <w:rFonts w:cstheme="minorHAnsi"/>
          <w:sz w:val="24"/>
          <w:szCs w:val="24"/>
        </w:rPr>
      </w:pPr>
      <w:r w:rsidRPr="00C24C81">
        <w:rPr>
          <w:rFonts w:cstheme="minorHAnsi"/>
          <w:sz w:val="24"/>
          <w:szCs w:val="24"/>
        </w:rPr>
        <w:t>Sarah Farmer</w:t>
      </w:r>
    </w:p>
    <w:p w14:paraId="5DF4C5AC" w14:textId="77777777" w:rsidR="002A3BC1" w:rsidRPr="00C24C81" w:rsidRDefault="002A3BC1" w:rsidP="00C24C81">
      <w:pPr>
        <w:spacing w:after="0"/>
        <w:rPr>
          <w:rFonts w:cstheme="minorHAnsi"/>
          <w:sz w:val="24"/>
          <w:szCs w:val="24"/>
        </w:rPr>
      </w:pPr>
      <w:r w:rsidRPr="00C24C81">
        <w:rPr>
          <w:rFonts w:cstheme="minorHAnsi"/>
          <w:sz w:val="24"/>
          <w:szCs w:val="24"/>
        </w:rPr>
        <w:t>Cindy James</w:t>
      </w:r>
    </w:p>
    <w:p w14:paraId="12504183" w14:textId="77777777" w:rsidR="002A3BC1" w:rsidRPr="00C24C81" w:rsidRDefault="002A3BC1" w:rsidP="00C24C81">
      <w:pPr>
        <w:spacing w:after="0"/>
        <w:rPr>
          <w:rFonts w:cstheme="minorHAnsi"/>
          <w:sz w:val="24"/>
          <w:szCs w:val="24"/>
        </w:rPr>
      </w:pPr>
      <w:r w:rsidRPr="00C24C81">
        <w:rPr>
          <w:rFonts w:cstheme="minorHAnsi"/>
          <w:sz w:val="24"/>
          <w:szCs w:val="24"/>
        </w:rPr>
        <w:t>Peter Forth</w:t>
      </w:r>
      <w:r w:rsidRPr="00C24C81">
        <w:rPr>
          <w:rFonts w:cstheme="minorHAnsi"/>
          <w:sz w:val="24"/>
          <w:szCs w:val="24"/>
        </w:rPr>
        <w:br/>
        <w:t>Sara Baber</w:t>
      </w:r>
    </w:p>
    <w:p w14:paraId="2BEDF2E4" w14:textId="77777777" w:rsidR="002A3BC1" w:rsidRPr="00C24C81" w:rsidRDefault="002A3BC1" w:rsidP="00C24C81">
      <w:pPr>
        <w:spacing w:after="0"/>
        <w:rPr>
          <w:rFonts w:cstheme="minorHAnsi"/>
          <w:sz w:val="24"/>
          <w:szCs w:val="24"/>
        </w:rPr>
      </w:pPr>
      <w:r w:rsidRPr="00C24C81">
        <w:rPr>
          <w:rFonts w:cstheme="minorHAnsi"/>
          <w:sz w:val="24"/>
          <w:szCs w:val="24"/>
        </w:rPr>
        <w:t>Alice Berry</w:t>
      </w:r>
    </w:p>
    <w:p w14:paraId="628BE66C" w14:textId="77777777" w:rsidR="002A3BC1" w:rsidRPr="00C24C81" w:rsidRDefault="002A3BC1" w:rsidP="00C24C81">
      <w:pPr>
        <w:spacing w:after="0"/>
        <w:rPr>
          <w:rFonts w:cstheme="minorHAnsi"/>
          <w:sz w:val="24"/>
          <w:szCs w:val="24"/>
        </w:rPr>
      </w:pPr>
    </w:p>
    <w:p w14:paraId="2C13B605" w14:textId="77777777" w:rsidR="002A3BC1" w:rsidRPr="00C24C81" w:rsidRDefault="002A3BC1" w:rsidP="00C24C81">
      <w:pPr>
        <w:spacing w:after="0"/>
        <w:rPr>
          <w:rFonts w:cstheme="minorHAnsi"/>
          <w:b/>
          <w:bCs/>
          <w:sz w:val="24"/>
          <w:szCs w:val="24"/>
        </w:rPr>
      </w:pPr>
      <w:r w:rsidRPr="00C24C81">
        <w:rPr>
          <w:rFonts w:cstheme="minorHAnsi"/>
          <w:b/>
          <w:bCs/>
          <w:sz w:val="24"/>
          <w:szCs w:val="24"/>
        </w:rPr>
        <w:t>Sandwell &amp; West Birmingham Hospitals NHS Trust</w:t>
      </w:r>
    </w:p>
    <w:p w14:paraId="0B3AB02B" w14:textId="77777777" w:rsidR="002A3BC1" w:rsidRPr="00C24C81" w:rsidRDefault="002A3BC1" w:rsidP="00C24C81">
      <w:pPr>
        <w:spacing w:after="0"/>
        <w:rPr>
          <w:rFonts w:cstheme="minorHAnsi"/>
          <w:sz w:val="24"/>
          <w:szCs w:val="24"/>
        </w:rPr>
      </w:pPr>
      <w:r w:rsidRPr="00C24C81">
        <w:rPr>
          <w:rFonts w:cstheme="minorHAnsi"/>
          <w:sz w:val="24"/>
          <w:szCs w:val="24"/>
        </w:rPr>
        <w:t>Randeep Kaur</w:t>
      </w:r>
    </w:p>
    <w:p w14:paraId="658506A2" w14:textId="77777777" w:rsidR="002A3BC1" w:rsidRPr="00C24C81" w:rsidRDefault="002A3BC1" w:rsidP="00C24C81">
      <w:pPr>
        <w:spacing w:after="0"/>
        <w:rPr>
          <w:rFonts w:cstheme="minorHAnsi"/>
          <w:sz w:val="24"/>
          <w:szCs w:val="24"/>
        </w:rPr>
      </w:pPr>
      <w:r w:rsidRPr="00C24C81">
        <w:rPr>
          <w:rFonts w:cstheme="minorHAnsi"/>
          <w:sz w:val="24"/>
          <w:szCs w:val="24"/>
        </w:rPr>
        <w:t>Nina Rabadia</w:t>
      </w:r>
    </w:p>
    <w:p w14:paraId="3B5C6AB7" w14:textId="77777777" w:rsidR="002A3BC1" w:rsidRPr="00C24C81" w:rsidRDefault="002A3BC1" w:rsidP="00C24C81">
      <w:pPr>
        <w:spacing w:after="0"/>
        <w:rPr>
          <w:rFonts w:cstheme="minorHAnsi"/>
          <w:sz w:val="24"/>
          <w:szCs w:val="24"/>
        </w:rPr>
      </w:pPr>
      <w:r w:rsidRPr="00C24C81">
        <w:rPr>
          <w:rFonts w:cstheme="minorHAnsi"/>
          <w:sz w:val="24"/>
          <w:szCs w:val="24"/>
        </w:rPr>
        <w:t>Rebecca Fox</w:t>
      </w:r>
    </w:p>
    <w:p w14:paraId="6376BD9A" w14:textId="77777777" w:rsidR="002A3BC1" w:rsidRPr="00C24C81" w:rsidRDefault="002A3BC1" w:rsidP="00C24C81">
      <w:pPr>
        <w:spacing w:after="0"/>
        <w:rPr>
          <w:rFonts w:cstheme="minorHAnsi"/>
          <w:sz w:val="24"/>
          <w:szCs w:val="24"/>
        </w:rPr>
      </w:pPr>
    </w:p>
    <w:p w14:paraId="5D54B5F4" w14:textId="77777777" w:rsidR="002A3BC1" w:rsidRPr="00C24C81" w:rsidRDefault="002A3BC1" w:rsidP="00C24C81">
      <w:pPr>
        <w:spacing w:after="0"/>
        <w:rPr>
          <w:rFonts w:cstheme="minorHAnsi"/>
          <w:b/>
          <w:bCs/>
          <w:sz w:val="24"/>
          <w:szCs w:val="24"/>
        </w:rPr>
      </w:pPr>
      <w:r w:rsidRPr="00C24C81">
        <w:rPr>
          <w:rFonts w:cstheme="minorHAnsi"/>
          <w:b/>
          <w:bCs/>
          <w:sz w:val="24"/>
          <w:szCs w:val="24"/>
        </w:rPr>
        <w:t>Sandwell’s Children’s Trust</w:t>
      </w:r>
    </w:p>
    <w:p w14:paraId="15D538E5" w14:textId="77777777" w:rsidR="002A3BC1" w:rsidRPr="00C24C81" w:rsidRDefault="002A3BC1" w:rsidP="00C24C81">
      <w:pPr>
        <w:spacing w:after="0"/>
        <w:rPr>
          <w:rFonts w:cstheme="minorHAnsi"/>
          <w:sz w:val="24"/>
          <w:szCs w:val="24"/>
        </w:rPr>
      </w:pPr>
      <w:r w:rsidRPr="00C24C81">
        <w:rPr>
          <w:rFonts w:cstheme="minorHAnsi"/>
          <w:sz w:val="24"/>
          <w:szCs w:val="24"/>
        </w:rPr>
        <w:t>Stephen Tedcastle</w:t>
      </w:r>
    </w:p>
    <w:p w14:paraId="2FF46835" w14:textId="77777777" w:rsidR="002A3BC1" w:rsidRPr="00C24C81" w:rsidRDefault="002A3BC1" w:rsidP="00C24C81">
      <w:pPr>
        <w:spacing w:after="0"/>
        <w:rPr>
          <w:rFonts w:cstheme="minorHAnsi"/>
          <w:sz w:val="24"/>
          <w:szCs w:val="24"/>
        </w:rPr>
      </w:pPr>
    </w:p>
    <w:p w14:paraId="4E4E89E0" w14:textId="77777777" w:rsidR="002A3BC1" w:rsidRPr="00C24C81" w:rsidRDefault="002A3BC1" w:rsidP="00C24C81">
      <w:pPr>
        <w:spacing w:after="0"/>
        <w:rPr>
          <w:rFonts w:cstheme="minorHAnsi"/>
          <w:b/>
          <w:bCs/>
          <w:sz w:val="24"/>
          <w:szCs w:val="24"/>
        </w:rPr>
      </w:pPr>
      <w:r w:rsidRPr="00C24C81">
        <w:rPr>
          <w:rFonts w:cstheme="minorHAnsi"/>
          <w:b/>
          <w:bCs/>
          <w:sz w:val="24"/>
          <w:szCs w:val="24"/>
        </w:rPr>
        <w:t>Sandwell &amp; West Birmingham CCG</w:t>
      </w:r>
    </w:p>
    <w:p w14:paraId="360C414C" w14:textId="77777777" w:rsidR="002A3BC1" w:rsidRPr="00C24C81" w:rsidRDefault="002A3BC1" w:rsidP="00C24C81">
      <w:pPr>
        <w:spacing w:after="0"/>
        <w:rPr>
          <w:rFonts w:cstheme="minorHAnsi"/>
          <w:sz w:val="24"/>
          <w:szCs w:val="24"/>
        </w:rPr>
      </w:pPr>
      <w:r w:rsidRPr="00C24C81">
        <w:rPr>
          <w:rFonts w:cstheme="minorHAnsi"/>
          <w:sz w:val="24"/>
          <w:szCs w:val="24"/>
        </w:rPr>
        <w:t>Karmah Boothe</w:t>
      </w:r>
    </w:p>
    <w:p w14:paraId="73ABD6BD" w14:textId="0F31E22B" w:rsidR="002A3BC1" w:rsidRDefault="002A3BC1" w:rsidP="00C24C81">
      <w:pPr>
        <w:spacing w:after="0" w:line="259" w:lineRule="auto"/>
        <w:rPr>
          <w:noProof/>
        </w:rPr>
      </w:pPr>
      <w:r w:rsidRPr="00C24C81">
        <w:rPr>
          <w:rFonts w:cstheme="minorHAnsi"/>
          <w:sz w:val="24"/>
          <w:szCs w:val="24"/>
        </w:rPr>
        <w:t>Di Osborne</w:t>
      </w:r>
      <w:r>
        <w:rPr>
          <w:noProof/>
        </w:rPr>
        <w:br w:type="page"/>
      </w:r>
    </w:p>
    <w:p w14:paraId="07986A17" w14:textId="49191093" w:rsidR="00366EEC" w:rsidRDefault="00E86C66" w:rsidP="0001277C">
      <w:pPr>
        <w:pStyle w:val="Heading1"/>
        <w:rPr>
          <w:noProof/>
        </w:rPr>
      </w:pPr>
      <w:r>
        <w:rPr>
          <w:noProof/>
        </w:rPr>
        <w:lastRenderedPageBreak/>
        <w:t>Section One: Sandwell 0-5’s JSNA</w:t>
      </w:r>
    </w:p>
    <w:p w14:paraId="020A7490" w14:textId="6956D460" w:rsidR="00366EEC" w:rsidRPr="00FF13A5" w:rsidRDefault="00366EEC" w:rsidP="00865376">
      <w:pPr>
        <w:tabs>
          <w:tab w:val="right" w:leader="dot" w:pos="8505"/>
          <w:tab w:val="right" w:leader="dot" w:pos="9072"/>
        </w:tabs>
        <w:spacing w:line="200" w:lineRule="exact"/>
        <w:rPr>
          <w:sz w:val="24"/>
          <w:szCs w:val="24"/>
        </w:rPr>
      </w:pPr>
      <w:r w:rsidRPr="00FF13A5">
        <w:rPr>
          <w:sz w:val="24"/>
          <w:szCs w:val="24"/>
        </w:rPr>
        <w:t>Demographics</w:t>
      </w:r>
      <w:r w:rsidR="00865376">
        <w:rPr>
          <w:sz w:val="24"/>
          <w:szCs w:val="24"/>
        </w:rPr>
        <w:tab/>
      </w:r>
      <w:r w:rsidR="008F2363">
        <w:rPr>
          <w:sz w:val="24"/>
          <w:szCs w:val="24"/>
        </w:rPr>
        <w:t>1</w:t>
      </w:r>
    </w:p>
    <w:p w14:paraId="34E9455F" w14:textId="77777777" w:rsidR="00476DF7" w:rsidRDefault="00476DF7" w:rsidP="00865376">
      <w:pPr>
        <w:tabs>
          <w:tab w:val="right" w:leader="dot" w:pos="8505"/>
        </w:tabs>
        <w:spacing w:line="200" w:lineRule="exact"/>
      </w:pPr>
    </w:p>
    <w:p w14:paraId="21732E3D" w14:textId="7EA4D01C" w:rsidR="00366EEC" w:rsidRPr="00FF13A5" w:rsidRDefault="00366EEC" w:rsidP="00865376">
      <w:pPr>
        <w:tabs>
          <w:tab w:val="right" w:leader="dot" w:pos="8505"/>
        </w:tabs>
        <w:spacing w:line="200" w:lineRule="exact"/>
        <w:rPr>
          <w:sz w:val="24"/>
          <w:szCs w:val="24"/>
        </w:rPr>
      </w:pPr>
      <w:r w:rsidRPr="00FF13A5">
        <w:rPr>
          <w:sz w:val="24"/>
          <w:szCs w:val="24"/>
        </w:rPr>
        <w:t>Pregnancy &amp; birth</w:t>
      </w:r>
      <w:r w:rsidR="00865376">
        <w:rPr>
          <w:sz w:val="24"/>
          <w:szCs w:val="24"/>
        </w:rPr>
        <w:tab/>
      </w:r>
      <w:r w:rsidR="008F2363">
        <w:rPr>
          <w:sz w:val="24"/>
          <w:szCs w:val="24"/>
        </w:rPr>
        <w:t>3</w:t>
      </w:r>
    </w:p>
    <w:p w14:paraId="2F45E67D" w14:textId="4947FF6F" w:rsidR="00366EEC" w:rsidRDefault="00366EEC" w:rsidP="00865376">
      <w:pPr>
        <w:tabs>
          <w:tab w:val="right" w:leader="dot" w:pos="8505"/>
        </w:tabs>
        <w:spacing w:line="200" w:lineRule="exact"/>
        <w:ind w:left="720"/>
      </w:pPr>
      <w:r>
        <w:t>General fertility rate (GFR)</w:t>
      </w:r>
      <w:r w:rsidR="00865376">
        <w:tab/>
      </w:r>
      <w:r w:rsidR="008F2363">
        <w:t>4</w:t>
      </w:r>
    </w:p>
    <w:p w14:paraId="3811BAD7" w14:textId="47C1B702" w:rsidR="00366EEC" w:rsidRDefault="00366EEC" w:rsidP="00865376">
      <w:pPr>
        <w:tabs>
          <w:tab w:val="right" w:leader="dot" w:pos="8505"/>
        </w:tabs>
        <w:spacing w:line="200" w:lineRule="exact"/>
        <w:ind w:left="720"/>
      </w:pPr>
      <w:r>
        <w:t>Live births</w:t>
      </w:r>
      <w:r w:rsidR="00865376">
        <w:tab/>
      </w:r>
      <w:r w:rsidR="008F2363">
        <w:t>5</w:t>
      </w:r>
    </w:p>
    <w:p w14:paraId="26EA6B91" w14:textId="7CE0B285" w:rsidR="00366EEC" w:rsidRDefault="00366EEC" w:rsidP="00865376">
      <w:pPr>
        <w:tabs>
          <w:tab w:val="right" w:leader="dot" w:pos="8505"/>
        </w:tabs>
        <w:spacing w:line="200" w:lineRule="exact"/>
        <w:ind w:left="720"/>
      </w:pPr>
      <w:r>
        <w:t>Maternal age</w:t>
      </w:r>
      <w:r w:rsidR="00865376">
        <w:tab/>
      </w:r>
      <w:r w:rsidR="008F2363">
        <w:t>7</w:t>
      </w:r>
    </w:p>
    <w:p w14:paraId="33FE6855" w14:textId="36A19DC0" w:rsidR="00366EEC" w:rsidRDefault="00366EEC" w:rsidP="00865376">
      <w:pPr>
        <w:tabs>
          <w:tab w:val="right" w:leader="dot" w:pos="8505"/>
        </w:tabs>
        <w:spacing w:line="200" w:lineRule="exact"/>
        <w:ind w:left="1440"/>
      </w:pPr>
      <w:r w:rsidRPr="00366EEC">
        <w:t xml:space="preserve">Teenage </w:t>
      </w:r>
      <w:r>
        <w:t>m</w:t>
      </w:r>
      <w:r w:rsidRPr="00366EEC">
        <w:t>others</w:t>
      </w:r>
      <w:r w:rsidR="00865376">
        <w:tab/>
      </w:r>
      <w:r w:rsidR="008F2363">
        <w:t>8</w:t>
      </w:r>
    </w:p>
    <w:p w14:paraId="35848299" w14:textId="00D7AEA5" w:rsidR="00366EEC" w:rsidRDefault="00366EEC" w:rsidP="00865376">
      <w:pPr>
        <w:tabs>
          <w:tab w:val="right" w:leader="dot" w:pos="8505"/>
        </w:tabs>
        <w:spacing w:line="200" w:lineRule="exact"/>
        <w:ind w:left="720"/>
      </w:pPr>
      <w:r>
        <w:t>Maternal birthplace</w:t>
      </w:r>
      <w:r w:rsidR="00865376">
        <w:tab/>
      </w:r>
      <w:r w:rsidR="008F2363">
        <w:t>9</w:t>
      </w:r>
    </w:p>
    <w:p w14:paraId="057B2972" w14:textId="36D3836E" w:rsidR="00366EEC" w:rsidRDefault="00366EEC" w:rsidP="00865376">
      <w:pPr>
        <w:tabs>
          <w:tab w:val="right" w:leader="dot" w:pos="8505"/>
        </w:tabs>
        <w:spacing w:line="200" w:lineRule="exact"/>
        <w:ind w:left="720"/>
      </w:pPr>
      <w:r w:rsidRPr="00366EEC">
        <w:t xml:space="preserve">Births to mothers from </w:t>
      </w:r>
      <w:r w:rsidR="00303F31">
        <w:t>BAME</w:t>
      </w:r>
      <w:r w:rsidRPr="00366EEC">
        <w:t xml:space="preserve"> groups in Sandwell</w:t>
      </w:r>
      <w:r w:rsidR="00865376">
        <w:tab/>
      </w:r>
      <w:r w:rsidR="008F2363">
        <w:t>12</w:t>
      </w:r>
    </w:p>
    <w:p w14:paraId="7CBD1113" w14:textId="27ABF4B5" w:rsidR="00372B0D" w:rsidRDefault="00372B0D" w:rsidP="00865376">
      <w:pPr>
        <w:tabs>
          <w:tab w:val="right" w:leader="dot" w:pos="8505"/>
        </w:tabs>
        <w:spacing w:line="200" w:lineRule="exact"/>
        <w:ind w:left="720"/>
      </w:pPr>
      <w:r>
        <w:t>Perinatal mental health</w:t>
      </w:r>
      <w:r>
        <w:tab/>
      </w:r>
      <w:r w:rsidR="00972C40">
        <w:t>13</w:t>
      </w:r>
    </w:p>
    <w:p w14:paraId="08919679" w14:textId="0792BDC6" w:rsidR="00366EEC" w:rsidRDefault="00366EEC" w:rsidP="00865376">
      <w:pPr>
        <w:tabs>
          <w:tab w:val="right" w:leader="dot" w:pos="8505"/>
        </w:tabs>
        <w:spacing w:line="200" w:lineRule="exact"/>
        <w:ind w:left="720"/>
      </w:pPr>
      <w:r>
        <w:t>Birthweight</w:t>
      </w:r>
      <w:r w:rsidR="00865376">
        <w:tab/>
        <w:t>1</w:t>
      </w:r>
      <w:r w:rsidR="00972C40">
        <w:t>5</w:t>
      </w:r>
    </w:p>
    <w:p w14:paraId="48E3C3E0" w14:textId="0CC501B1" w:rsidR="00366EEC" w:rsidRDefault="00366EEC" w:rsidP="00865376">
      <w:pPr>
        <w:tabs>
          <w:tab w:val="right" w:leader="dot" w:pos="8505"/>
        </w:tabs>
        <w:spacing w:line="200" w:lineRule="exact"/>
        <w:ind w:left="1440"/>
      </w:pPr>
      <w:r w:rsidRPr="00366EEC">
        <w:t xml:space="preserve">Low </w:t>
      </w:r>
      <w:r>
        <w:t>b</w:t>
      </w:r>
      <w:r w:rsidRPr="00366EEC">
        <w:t xml:space="preserve">irth </w:t>
      </w:r>
      <w:r>
        <w:t>w</w:t>
      </w:r>
      <w:r w:rsidRPr="00366EEC">
        <w:t>eight – full term</w:t>
      </w:r>
      <w:r w:rsidR="00865376">
        <w:tab/>
        <w:t>1</w:t>
      </w:r>
      <w:r w:rsidR="00972C40">
        <w:t>5</w:t>
      </w:r>
    </w:p>
    <w:p w14:paraId="2AB70F63" w14:textId="0311790C" w:rsidR="00366EEC" w:rsidRDefault="00366EEC" w:rsidP="00865376">
      <w:pPr>
        <w:tabs>
          <w:tab w:val="right" w:leader="dot" w:pos="8505"/>
        </w:tabs>
        <w:spacing w:line="200" w:lineRule="exact"/>
        <w:ind w:left="1440"/>
      </w:pPr>
      <w:r w:rsidRPr="00366EEC">
        <w:t xml:space="preserve">Low </w:t>
      </w:r>
      <w:r>
        <w:t>b</w:t>
      </w:r>
      <w:r w:rsidRPr="00366EEC">
        <w:t xml:space="preserve">irth </w:t>
      </w:r>
      <w:r>
        <w:t>w</w:t>
      </w:r>
      <w:r w:rsidRPr="00366EEC">
        <w:t>eight – all babies</w:t>
      </w:r>
      <w:r w:rsidR="00865376">
        <w:tab/>
        <w:t>1</w:t>
      </w:r>
      <w:r w:rsidR="00972C40">
        <w:t>6</w:t>
      </w:r>
    </w:p>
    <w:p w14:paraId="0E6D011B" w14:textId="29EB235A" w:rsidR="00366EEC" w:rsidRDefault="00366EEC" w:rsidP="00865376">
      <w:pPr>
        <w:tabs>
          <w:tab w:val="right" w:leader="dot" w:pos="8505"/>
        </w:tabs>
        <w:spacing w:line="200" w:lineRule="exact"/>
        <w:ind w:left="1440"/>
      </w:pPr>
      <w:r w:rsidRPr="00366EEC">
        <w:t>Very low birth weight of all babies</w:t>
      </w:r>
      <w:r w:rsidR="00865376">
        <w:tab/>
        <w:t>1</w:t>
      </w:r>
      <w:r w:rsidR="00972C40">
        <w:t>6</w:t>
      </w:r>
    </w:p>
    <w:p w14:paraId="22B2B8AC" w14:textId="7AB88047" w:rsidR="00366EEC" w:rsidRDefault="00366EEC" w:rsidP="00865376">
      <w:pPr>
        <w:tabs>
          <w:tab w:val="right" w:leader="dot" w:pos="8505"/>
        </w:tabs>
        <w:spacing w:line="200" w:lineRule="exact"/>
        <w:ind w:left="720"/>
      </w:pPr>
      <w:r w:rsidRPr="00366EEC">
        <w:t xml:space="preserve">Still </w:t>
      </w:r>
      <w:r>
        <w:t>b</w:t>
      </w:r>
      <w:r w:rsidRPr="00366EEC">
        <w:t>irth</w:t>
      </w:r>
      <w:r>
        <w:t>s</w:t>
      </w:r>
      <w:r w:rsidR="00865376">
        <w:tab/>
        <w:t>1</w:t>
      </w:r>
      <w:r w:rsidR="00972C40">
        <w:t>6</w:t>
      </w:r>
    </w:p>
    <w:p w14:paraId="6CA4DFD1" w14:textId="539DF5A1" w:rsidR="00366EEC" w:rsidRDefault="00EA70D0" w:rsidP="00865376">
      <w:pPr>
        <w:tabs>
          <w:tab w:val="right" w:leader="dot" w:pos="8505"/>
        </w:tabs>
        <w:spacing w:line="200" w:lineRule="exact"/>
        <w:ind w:left="720"/>
        <w:rPr>
          <w:lang w:eastAsia="en-GB"/>
        </w:rPr>
      </w:pPr>
      <w:r w:rsidRPr="002767A4">
        <w:rPr>
          <w:lang w:eastAsia="en-GB"/>
        </w:rPr>
        <w:t xml:space="preserve">Community </w:t>
      </w:r>
      <w:r w:rsidR="002767A4">
        <w:rPr>
          <w:lang w:eastAsia="en-GB"/>
        </w:rPr>
        <w:t>m</w:t>
      </w:r>
      <w:r w:rsidRPr="002767A4">
        <w:rPr>
          <w:lang w:eastAsia="en-GB"/>
        </w:rPr>
        <w:t xml:space="preserve">idwifery - </w:t>
      </w:r>
      <w:r w:rsidR="002767A4">
        <w:rPr>
          <w:lang w:eastAsia="en-GB"/>
        </w:rPr>
        <w:t>l</w:t>
      </w:r>
      <w:r w:rsidRPr="002767A4">
        <w:rPr>
          <w:lang w:eastAsia="en-GB"/>
        </w:rPr>
        <w:t xml:space="preserve">ate </w:t>
      </w:r>
      <w:r w:rsidR="002767A4">
        <w:rPr>
          <w:lang w:eastAsia="en-GB"/>
        </w:rPr>
        <w:t>b</w:t>
      </w:r>
      <w:r w:rsidRPr="002767A4">
        <w:rPr>
          <w:lang w:eastAsia="en-GB"/>
        </w:rPr>
        <w:t>ookers</w:t>
      </w:r>
      <w:r w:rsidR="00865376">
        <w:rPr>
          <w:lang w:eastAsia="en-GB"/>
        </w:rPr>
        <w:tab/>
      </w:r>
      <w:r w:rsidR="00972C40">
        <w:rPr>
          <w:lang w:eastAsia="en-GB"/>
        </w:rPr>
        <w:t>17</w:t>
      </w:r>
    </w:p>
    <w:p w14:paraId="01AEFAAE" w14:textId="51F731E1" w:rsidR="002767A4" w:rsidRDefault="002767A4" w:rsidP="00865376">
      <w:pPr>
        <w:tabs>
          <w:tab w:val="right" w:leader="dot" w:pos="8505"/>
        </w:tabs>
        <w:spacing w:line="200" w:lineRule="exact"/>
        <w:ind w:left="720"/>
        <w:rPr>
          <w:noProof/>
          <w:lang w:eastAsia="en-GB"/>
        </w:rPr>
      </w:pPr>
      <w:r w:rsidRPr="00366EEC">
        <w:rPr>
          <w:noProof/>
          <w:lang w:eastAsia="en-GB"/>
        </w:rPr>
        <w:t>Smoking status at time of delivery</w:t>
      </w:r>
      <w:r w:rsidR="00865376">
        <w:rPr>
          <w:noProof/>
          <w:lang w:eastAsia="en-GB"/>
        </w:rPr>
        <w:tab/>
      </w:r>
      <w:r w:rsidR="00972C40">
        <w:rPr>
          <w:noProof/>
          <w:lang w:eastAsia="en-GB"/>
        </w:rPr>
        <w:t>18</w:t>
      </w:r>
    </w:p>
    <w:p w14:paraId="1F2E0532" w14:textId="34018C0D" w:rsidR="002767A4" w:rsidRPr="00366EEC" w:rsidRDefault="002767A4" w:rsidP="00865376">
      <w:pPr>
        <w:tabs>
          <w:tab w:val="right" w:leader="dot" w:pos="8505"/>
        </w:tabs>
        <w:spacing w:line="200" w:lineRule="exact"/>
        <w:ind w:left="720"/>
        <w:rPr>
          <w:lang w:eastAsia="en-GB"/>
        </w:rPr>
      </w:pPr>
      <w:r>
        <w:t>Hospital a</w:t>
      </w:r>
      <w:r w:rsidRPr="00366EEC">
        <w:t>dmissions of babies under 14 days</w:t>
      </w:r>
      <w:r w:rsidR="00865376">
        <w:tab/>
      </w:r>
      <w:r w:rsidR="00972C40">
        <w:t>19</w:t>
      </w:r>
    </w:p>
    <w:p w14:paraId="52330CC3" w14:textId="77777777" w:rsidR="00476DF7" w:rsidRDefault="00476DF7" w:rsidP="00865376">
      <w:pPr>
        <w:pStyle w:val="TOC2"/>
        <w:tabs>
          <w:tab w:val="right" w:leader="dot" w:pos="8505"/>
        </w:tabs>
      </w:pPr>
    </w:p>
    <w:p w14:paraId="606018B6" w14:textId="0C60D063" w:rsidR="00EA70D0" w:rsidRPr="00FF13A5" w:rsidRDefault="001B1AE9" w:rsidP="00865376">
      <w:pPr>
        <w:pStyle w:val="TOC2"/>
        <w:tabs>
          <w:tab w:val="right" w:leader="dot" w:pos="8505"/>
        </w:tabs>
      </w:pPr>
      <w:r w:rsidRPr="00FF13A5">
        <w:t>Early Years</w:t>
      </w:r>
      <w:r w:rsidR="00FA3A36">
        <w:tab/>
        <w:t>2</w:t>
      </w:r>
      <w:r w:rsidR="00972C40">
        <w:t>1</w:t>
      </w:r>
    </w:p>
    <w:p w14:paraId="3F4F62B0" w14:textId="6F43B079" w:rsidR="001B1AE9" w:rsidRDefault="00EA70D0" w:rsidP="00865376">
      <w:pPr>
        <w:tabs>
          <w:tab w:val="right" w:leader="dot" w:pos="8505"/>
        </w:tabs>
        <w:spacing w:line="200" w:lineRule="exact"/>
        <w:ind w:left="720"/>
        <w:rPr>
          <w:lang w:eastAsia="en-GB"/>
        </w:rPr>
      </w:pPr>
      <w:r w:rsidRPr="001B1AE9">
        <w:rPr>
          <w:lang w:eastAsia="en-GB"/>
        </w:rPr>
        <w:t>Infant Mortality</w:t>
      </w:r>
      <w:r w:rsidR="00FA3A36">
        <w:rPr>
          <w:lang w:eastAsia="en-GB"/>
        </w:rPr>
        <w:tab/>
        <w:t>2</w:t>
      </w:r>
      <w:r w:rsidR="00972C40">
        <w:rPr>
          <w:lang w:eastAsia="en-GB"/>
        </w:rPr>
        <w:t>2</w:t>
      </w:r>
    </w:p>
    <w:p w14:paraId="5A6A2D10" w14:textId="39D3FD05" w:rsidR="001B1AE9" w:rsidRDefault="00EA70D0" w:rsidP="00865376">
      <w:pPr>
        <w:tabs>
          <w:tab w:val="right" w:leader="dot" w:pos="8505"/>
        </w:tabs>
        <w:spacing w:line="200" w:lineRule="exact"/>
        <w:ind w:left="720"/>
        <w:rPr>
          <w:lang w:eastAsia="en-GB"/>
        </w:rPr>
      </w:pPr>
      <w:r w:rsidRPr="001B1AE9">
        <w:rPr>
          <w:lang w:eastAsia="en-GB"/>
        </w:rPr>
        <w:t xml:space="preserve">Neonatal </w:t>
      </w:r>
      <w:r w:rsidR="00B869C3">
        <w:rPr>
          <w:lang w:eastAsia="en-GB"/>
        </w:rPr>
        <w:t xml:space="preserve">&amp; </w:t>
      </w:r>
      <w:r w:rsidR="00B869C3" w:rsidRPr="001B1AE9">
        <w:rPr>
          <w:lang w:eastAsia="en-GB"/>
        </w:rPr>
        <w:t xml:space="preserve">Post-neonatal </w:t>
      </w:r>
      <w:r w:rsidRPr="001B1AE9">
        <w:rPr>
          <w:lang w:eastAsia="en-GB"/>
        </w:rPr>
        <w:t>Mortality</w:t>
      </w:r>
      <w:r w:rsidR="00FA3A36">
        <w:rPr>
          <w:lang w:eastAsia="en-GB"/>
        </w:rPr>
        <w:tab/>
        <w:t>2</w:t>
      </w:r>
      <w:r w:rsidR="00972C40">
        <w:rPr>
          <w:lang w:eastAsia="en-GB"/>
        </w:rPr>
        <w:t>3</w:t>
      </w:r>
    </w:p>
    <w:p w14:paraId="7E7864FC" w14:textId="20F5CDF9" w:rsidR="001B1AE9" w:rsidRDefault="001B1AE9" w:rsidP="00865376">
      <w:pPr>
        <w:tabs>
          <w:tab w:val="right" w:leader="dot" w:pos="8505"/>
        </w:tabs>
        <w:spacing w:line="200" w:lineRule="exact"/>
        <w:ind w:left="720"/>
        <w:rPr>
          <w:lang w:eastAsia="en-GB"/>
        </w:rPr>
      </w:pPr>
      <w:r>
        <w:rPr>
          <w:lang w:eastAsia="en-GB"/>
        </w:rPr>
        <w:t>Breastfeeding</w:t>
      </w:r>
      <w:r w:rsidR="00FA3A36">
        <w:rPr>
          <w:lang w:eastAsia="en-GB"/>
        </w:rPr>
        <w:tab/>
        <w:t>2</w:t>
      </w:r>
      <w:r w:rsidR="00972C40">
        <w:rPr>
          <w:lang w:eastAsia="en-GB"/>
        </w:rPr>
        <w:t>4</w:t>
      </w:r>
    </w:p>
    <w:p w14:paraId="25E4E072" w14:textId="358F09B6" w:rsidR="001B1AE9" w:rsidRDefault="001B1AE9" w:rsidP="00865376">
      <w:pPr>
        <w:tabs>
          <w:tab w:val="right" w:leader="dot" w:pos="8505"/>
        </w:tabs>
        <w:spacing w:line="200" w:lineRule="exact"/>
        <w:ind w:left="1440"/>
        <w:rPr>
          <w:lang w:eastAsia="en-GB"/>
        </w:rPr>
      </w:pPr>
      <w:r>
        <w:rPr>
          <w:lang w:eastAsia="en-GB"/>
        </w:rPr>
        <w:t>Initiation</w:t>
      </w:r>
      <w:r w:rsidR="00FA3A36">
        <w:rPr>
          <w:lang w:eastAsia="en-GB"/>
        </w:rPr>
        <w:tab/>
        <w:t>2</w:t>
      </w:r>
      <w:r w:rsidR="00972C40">
        <w:rPr>
          <w:lang w:eastAsia="en-GB"/>
        </w:rPr>
        <w:t>5</w:t>
      </w:r>
    </w:p>
    <w:p w14:paraId="7495154E" w14:textId="4B65FBC5" w:rsidR="001B1AE9" w:rsidRDefault="001B1AE9" w:rsidP="00865376">
      <w:pPr>
        <w:tabs>
          <w:tab w:val="right" w:leader="dot" w:pos="8505"/>
        </w:tabs>
        <w:spacing w:line="200" w:lineRule="exact"/>
        <w:ind w:left="1440"/>
        <w:rPr>
          <w:lang w:eastAsia="en-GB"/>
        </w:rPr>
      </w:pPr>
      <w:r>
        <w:rPr>
          <w:lang w:eastAsia="en-GB"/>
        </w:rPr>
        <w:t>6-8 weeks</w:t>
      </w:r>
      <w:r w:rsidR="00FA3A36">
        <w:rPr>
          <w:lang w:eastAsia="en-GB"/>
        </w:rPr>
        <w:tab/>
        <w:t>2</w:t>
      </w:r>
      <w:r w:rsidR="00972C40">
        <w:rPr>
          <w:lang w:eastAsia="en-GB"/>
        </w:rPr>
        <w:t>5</w:t>
      </w:r>
    </w:p>
    <w:p w14:paraId="31C74353" w14:textId="0757CDCF" w:rsidR="00A92B0D" w:rsidRDefault="00EA70D0" w:rsidP="00865376">
      <w:pPr>
        <w:tabs>
          <w:tab w:val="right" w:leader="dot" w:pos="8505"/>
        </w:tabs>
        <w:spacing w:line="200" w:lineRule="exact"/>
        <w:ind w:left="720"/>
        <w:rPr>
          <w:lang w:eastAsia="en-GB"/>
        </w:rPr>
      </w:pPr>
      <w:r w:rsidRPr="00A92B0D">
        <w:rPr>
          <w:lang w:eastAsia="en-GB"/>
        </w:rPr>
        <w:t>A&amp;E attendances (0-4 years)</w:t>
      </w:r>
      <w:r w:rsidR="00FA3A36">
        <w:rPr>
          <w:lang w:eastAsia="en-GB"/>
        </w:rPr>
        <w:tab/>
        <w:t>2</w:t>
      </w:r>
      <w:r w:rsidR="00972C40">
        <w:rPr>
          <w:lang w:eastAsia="en-GB"/>
        </w:rPr>
        <w:t>6</w:t>
      </w:r>
    </w:p>
    <w:p w14:paraId="6349FB6B" w14:textId="3A91CAF8" w:rsidR="00A92B0D" w:rsidRDefault="00EA70D0" w:rsidP="00865376">
      <w:pPr>
        <w:tabs>
          <w:tab w:val="right" w:leader="dot" w:pos="8505"/>
        </w:tabs>
        <w:spacing w:line="200" w:lineRule="exact"/>
        <w:ind w:left="720"/>
        <w:rPr>
          <w:lang w:eastAsia="en-GB"/>
        </w:rPr>
      </w:pPr>
      <w:r w:rsidRPr="00A92B0D">
        <w:rPr>
          <w:lang w:eastAsia="en-GB"/>
        </w:rPr>
        <w:t>Emergency admissions (aged 0-4)</w:t>
      </w:r>
      <w:r w:rsidR="00FA3A36">
        <w:rPr>
          <w:lang w:eastAsia="en-GB"/>
        </w:rPr>
        <w:tab/>
      </w:r>
      <w:r w:rsidR="00972C40">
        <w:rPr>
          <w:lang w:eastAsia="en-GB"/>
        </w:rPr>
        <w:t>27</w:t>
      </w:r>
    </w:p>
    <w:p w14:paraId="4167DACB" w14:textId="2204252A" w:rsidR="00A92B0D" w:rsidRDefault="00EA70D0" w:rsidP="00865376">
      <w:pPr>
        <w:tabs>
          <w:tab w:val="right" w:leader="dot" w:pos="8505"/>
        </w:tabs>
        <w:spacing w:line="200" w:lineRule="exact"/>
        <w:ind w:left="720"/>
        <w:rPr>
          <w:lang w:eastAsia="en-GB"/>
        </w:rPr>
      </w:pPr>
      <w:r w:rsidRPr="00A92B0D">
        <w:rPr>
          <w:lang w:eastAsia="en-GB"/>
        </w:rPr>
        <w:t>Population vaccination coverage</w:t>
      </w:r>
      <w:r w:rsidR="00FA3A36">
        <w:rPr>
          <w:lang w:eastAsia="en-GB"/>
        </w:rPr>
        <w:tab/>
      </w:r>
      <w:r w:rsidR="00972C40">
        <w:rPr>
          <w:lang w:eastAsia="en-GB"/>
        </w:rPr>
        <w:t>28</w:t>
      </w:r>
    </w:p>
    <w:p w14:paraId="3F13FEBC" w14:textId="01C40164" w:rsidR="002579EA" w:rsidRDefault="002579EA" w:rsidP="00865376">
      <w:pPr>
        <w:tabs>
          <w:tab w:val="right" w:leader="dot" w:pos="8505"/>
        </w:tabs>
        <w:spacing w:line="200" w:lineRule="exact"/>
        <w:ind w:left="720"/>
        <w:rPr>
          <w:lang w:eastAsia="en-GB"/>
        </w:rPr>
      </w:pPr>
      <w:r>
        <w:rPr>
          <w:lang w:eastAsia="en-GB"/>
        </w:rPr>
        <w:t>Child Development</w:t>
      </w:r>
      <w:r w:rsidR="00FA3A36">
        <w:rPr>
          <w:lang w:eastAsia="en-GB"/>
        </w:rPr>
        <w:tab/>
      </w:r>
      <w:r w:rsidR="00972C40">
        <w:rPr>
          <w:lang w:eastAsia="en-GB"/>
        </w:rPr>
        <w:t>28</w:t>
      </w:r>
    </w:p>
    <w:p w14:paraId="3BDE6176" w14:textId="1A5BD55C" w:rsidR="001B1AE9" w:rsidRDefault="00EA70D0" w:rsidP="00865376">
      <w:pPr>
        <w:tabs>
          <w:tab w:val="right" w:leader="dot" w:pos="8505"/>
        </w:tabs>
        <w:spacing w:line="200" w:lineRule="exact"/>
        <w:ind w:left="1440"/>
        <w:rPr>
          <w:lang w:eastAsia="en-GB"/>
        </w:rPr>
      </w:pPr>
      <w:r w:rsidRPr="00A92B0D">
        <w:rPr>
          <w:lang w:eastAsia="en-GB"/>
        </w:rPr>
        <w:t>Proportion of children aged 2-2½yrs receiving ASQ-3</w:t>
      </w:r>
      <w:r w:rsidR="00FA3A36">
        <w:rPr>
          <w:lang w:eastAsia="en-GB"/>
        </w:rPr>
        <w:tab/>
      </w:r>
      <w:r w:rsidR="00972C40">
        <w:rPr>
          <w:lang w:eastAsia="en-GB"/>
        </w:rPr>
        <w:t>29</w:t>
      </w:r>
    </w:p>
    <w:p w14:paraId="26D83F27" w14:textId="4FEFBFEB" w:rsidR="00A92B0D" w:rsidRDefault="007039CE" w:rsidP="00865376">
      <w:pPr>
        <w:tabs>
          <w:tab w:val="right" w:leader="dot" w:pos="8505"/>
        </w:tabs>
        <w:spacing w:line="200" w:lineRule="exact"/>
        <w:ind w:left="1440"/>
        <w:rPr>
          <w:lang w:eastAsia="en-GB"/>
        </w:rPr>
      </w:pPr>
      <w:r>
        <w:rPr>
          <w:lang w:eastAsia="en-GB"/>
        </w:rPr>
        <w:t xml:space="preserve">Ready for </w:t>
      </w:r>
      <w:r w:rsidR="00EA70D0" w:rsidRPr="00A92B0D">
        <w:rPr>
          <w:lang w:eastAsia="en-GB"/>
        </w:rPr>
        <w:t>School</w:t>
      </w:r>
      <w:r w:rsidR="00FA3A36">
        <w:rPr>
          <w:lang w:eastAsia="en-GB"/>
        </w:rPr>
        <w:tab/>
        <w:t>3</w:t>
      </w:r>
      <w:r w:rsidR="00972C40">
        <w:rPr>
          <w:lang w:eastAsia="en-GB"/>
        </w:rPr>
        <w:t>0</w:t>
      </w:r>
    </w:p>
    <w:p w14:paraId="1B812F2F" w14:textId="0F59F58B" w:rsidR="00B869C3" w:rsidRDefault="00FC2F23" w:rsidP="004802A6">
      <w:pPr>
        <w:tabs>
          <w:tab w:val="right" w:leader="dot" w:pos="8505"/>
        </w:tabs>
        <w:spacing w:line="200" w:lineRule="exact"/>
        <w:ind w:left="720"/>
        <w:rPr>
          <w:lang w:eastAsia="en-GB"/>
        </w:rPr>
      </w:pPr>
      <w:r>
        <w:rPr>
          <w:lang w:eastAsia="en-GB"/>
        </w:rPr>
        <w:t>Speech &amp; Language</w:t>
      </w:r>
      <w:r w:rsidR="00FA3A36">
        <w:rPr>
          <w:lang w:eastAsia="en-GB"/>
        </w:rPr>
        <w:tab/>
      </w:r>
      <w:r w:rsidR="00972C40">
        <w:rPr>
          <w:lang w:eastAsia="en-GB"/>
        </w:rPr>
        <w:t>37</w:t>
      </w:r>
    </w:p>
    <w:p w14:paraId="416FDEE9" w14:textId="546EF2EA" w:rsidR="00A92B0D" w:rsidRDefault="00A92B0D" w:rsidP="00865376">
      <w:pPr>
        <w:tabs>
          <w:tab w:val="right" w:leader="dot" w:pos="8505"/>
        </w:tabs>
        <w:spacing w:line="200" w:lineRule="exact"/>
        <w:ind w:left="720"/>
        <w:rPr>
          <w:lang w:eastAsia="en-GB"/>
        </w:rPr>
      </w:pPr>
      <w:r>
        <w:rPr>
          <w:lang w:eastAsia="en-GB"/>
        </w:rPr>
        <w:t>Literacy</w:t>
      </w:r>
      <w:r w:rsidR="00FA3A36">
        <w:rPr>
          <w:lang w:eastAsia="en-GB"/>
        </w:rPr>
        <w:tab/>
      </w:r>
      <w:r w:rsidR="00972C40">
        <w:rPr>
          <w:lang w:eastAsia="en-GB"/>
        </w:rPr>
        <w:t>38</w:t>
      </w:r>
    </w:p>
    <w:p w14:paraId="21F6377D" w14:textId="3403B8D6" w:rsidR="00A92B0D" w:rsidRDefault="00A92B0D" w:rsidP="00865376">
      <w:pPr>
        <w:tabs>
          <w:tab w:val="right" w:leader="dot" w:pos="8505"/>
        </w:tabs>
        <w:spacing w:line="200" w:lineRule="exact"/>
        <w:ind w:left="720"/>
        <w:rPr>
          <w:lang w:eastAsia="en-GB"/>
        </w:rPr>
      </w:pPr>
      <w:r>
        <w:rPr>
          <w:lang w:eastAsia="en-GB"/>
        </w:rPr>
        <w:t>Childcare provision</w:t>
      </w:r>
      <w:r w:rsidR="00FA3A36">
        <w:rPr>
          <w:lang w:eastAsia="en-GB"/>
        </w:rPr>
        <w:tab/>
      </w:r>
      <w:r w:rsidR="00972C40">
        <w:rPr>
          <w:lang w:eastAsia="en-GB"/>
        </w:rPr>
        <w:t>39</w:t>
      </w:r>
    </w:p>
    <w:p w14:paraId="052482D8" w14:textId="0042BD86" w:rsidR="00A92B0D" w:rsidRPr="001B1AE9" w:rsidRDefault="00A92B0D" w:rsidP="00865376">
      <w:pPr>
        <w:tabs>
          <w:tab w:val="right" w:leader="dot" w:pos="8505"/>
        </w:tabs>
        <w:spacing w:line="200" w:lineRule="exact"/>
        <w:ind w:left="720"/>
        <w:rPr>
          <w:lang w:eastAsia="en-GB"/>
        </w:rPr>
      </w:pPr>
      <w:r>
        <w:rPr>
          <w:lang w:eastAsia="en-GB"/>
        </w:rPr>
        <w:t>W</w:t>
      </w:r>
      <w:r w:rsidR="00EA70D0" w:rsidRPr="00A92B0D">
        <w:rPr>
          <w:lang w:eastAsia="en-GB"/>
        </w:rPr>
        <w:t>eight</w:t>
      </w:r>
      <w:r>
        <w:rPr>
          <w:lang w:eastAsia="en-GB"/>
        </w:rPr>
        <w:t xml:space="preserve"> of </w:t>
      </w:r>
      <w:r w:rsidR="00EA70D0" w:rsidRPr="00A92B0D">
        <w:rPr>
          <w:lang w:eastAsia="en-GB"/>
        </w:rPr>
        <w:t xml:space="preserve">4-5 </w:t>
      </w:r>
      <w:r>
        <w:rPr>
          <w:lang w:eastAsia="en-GB"/>
        </w:rPr>
        <w:t>y</w:t>
      </w:r>
      <w:r w:rsidR="00EA70D0" w:rsidRPr="00A92B0D">
        <w:rPr>
          <w:lang w:eastAsia="en-GB"/>
        </w:rPr>
        <w:t xml:space="preserve">ear </w:t>
      </w:r>
      <w:r>
        <w:rPr>
          <w:lang w:eastAsia="en-GB"/>
        </w:rPr>
        <w:t>o</w:t>
      </w:r>
      <w:r w:rsidR="00EA70D0" w:rsidRPr="00A92B0D">
        <w:rPr>
          <w:lang w:eastAsia="en-GB"/>
        </w:rPr>
        <w:t>lds</w:t>
      </w:r>
      <w:r w:rsidR="00FA3A36">
        <w:rPr>
          <w:lang w:eastAsia="en-GB"/>
        </w:rPr>
        <w:tab/>
        <w:t>4</w:t>
      </w:r>
      <w:r w:rsidR="00972C40">
        <w:rPr>
          <w:lang w:eastAsia="en-GB"/>
        </w:rPr>
        <w:t>1</w:t>
      </w:r>
    </w:p>
    <w:p w14:paraId="2C371FD6" w14:textId="77777777" w:rsidR="00476DF7" w:rsidRDefault="00476DF7" w:rsidP="00865376">
      <w:pPr>
        <w:pStyle w:val="TOC2"/>
        <w:tabs>
          <w:tab w:val="right" w:leader="dot" w:pos="8505"/>
        </w:tabs>
      </w:pPr>
    </w:p>
    <w:p w14:paraId="5C55C1F5" w14:textId="518F3236" w:rsidR="00EA70D0" w:rsidRDefault="00A92B0D" w:rsidP="00865376">
      <w:pPr>
        <w:pStyle w:val="TOC2"/>
        <w:tabs>
          <w:tab w:val="right" w:leader="dot" w:pos="8505"/>
        </w:tabs>
      </w:pPr>
      <w:r w:rsidRPr="00A92B0D">
        <w:t>Vulnerable Children</w:t>
      </w:r>
      <w:r w:rsidR="00FA3A36">
        <w:tab/>
        <w:t>4</w:t>
      </w:r>
      <w:r w:rsidR="00972C40">
        <w:t>4</w:t>
      </w:r>
    </w:p>
    <w:p w14:paraId="1D6FCF75" w14:textId="1E2E39CA" w:rsidR="00FC2F23" w:rsidRDefault="00FC2F23" w:rsidP="00865376">
      <w:pPr>
        <w:tabs>
          <w:tab w:val="right" w:leader="dot" w:pos="8505"/>
        </w:tabs>
        <w:ind w:left="720"/>
        <w:rPr>
          <w:lang w:eastAsia="en-GB"/>
        </w:rPr>
      </w:pPr>
      <w:r>
        <w:rPr>
          <w:lang w:eastAsia="en-GB"/>
        </w:rPr>
        <w:t>Introduction</w:t>
      </w:r>
      <w:r w:rsidR="00FA3A36">
        <w:rPr>
          <w:lang w:eastAsia="en-GB"/>
        </w:rPr>
        <w:tab/>
        <w:t>4</w:t>
      </w:r>
      <w:r w:rsidR="00972C40">
        <w:rPr>
          <w:lang w:eastAsia="en-GB"/>
        </w:rPr>
        <w:t>5</w:t>
      </w:r>
    </w:p>
    <w:p w14:paraId="619EE655" w14:textId="352A54E3" w:rsidR="00372B0D" w:rsidRPr="00FC2F23" w:rsidRDefault="00372B0D" w:rsidP="00865376">
      <w:pPr>
        <w:tabs>
          <w:tab w:val="right" w:leader="dot" w:pos="8505"/>
        </w:tabs>
        <w:ind w:left="720"/>
        <w:rPr>
          <w:lang w:eastAsia="en-GB"/>
        </w:rPr>
      </w:pPr>
      <w:r>
        <w:rPr>
          <w:lang w:eastAsia="en-GB"/>
        </w:rPr>
        <w:t>Children’s safeguarding practice reviews</w:t>
      </w:r>
      <w:r>
        <w:rPr>
          <w:lang w:eastAsia="en-GB"/>
        </w:rPr>
        <w:tab/>
        <w:t>4</w:t>
      </w:r>
      <w:r w:rsidR="00972C40">
        <w:rPr>
          <w:lang w:eastAsia="en-GB"/>
        </w:rPr>
        <w:t>5</w:t>
      </w:r>
    </w:p>
    <w:p w14:paraId="4E5CE202" w14:textId="2C992DC3" w:rsidR="006A58F2" w:rsidRDefault="006A58F2" w:rsidP="00865376">
      <w:pPr>
        <w:tabs>
          <w:tab w:val="right" w:leader="dot" w:pos="8505"/>
        </w:tabs>
        <w:spacing w:line="200" w:lineRule="exact"/>
        <w:ind w:left="720"/>
        <w:rPr>
          <w:lang w:eastAsia="en-GB"/>
        </w:rPr>
      </w:pPr>
      <w:r>
        <w:rPr>
          <w:lang w:eastAsia="en-GB"/>
        </w:rPr>
        <w:t>Early Help</w:t>
      </w:r>
      <w:r w:rsidR="00FA3A36">
        <w:rPr>
          <w:lang w:eastAsia="en-GB"/>
        </w:rPr>
        <w:tab/>
      </w:r>
      <w:r w:rsidR="00972C40">
        <w:rPr>
          <w:lang w:eastAsia="en-GB"/>
        </w:rPr>
        <w:t>47</w:t>
      </w:r>
    </w:p>
    <w:p w14:paraId="15722941" w14:textId="61E9EE4D" w:rsidR="00A92B0D" w:rsidRDefault="00EA70D0" w:rsidP="00865376">
      <w:pPr>
        <w:tabs>
          <w:tab w:val="right" w:leader="dot" w:pos="8505"/>
        </w:tabs>
        <w:spacing w:line="200" w:lineRule="exact"/>
        <w:ind w:left="720"/>
        <w:rPr>
          <w:lang w:eastAsia="en-GB"/>
        </w:rPr>
      </w:pPr>
      <w:r w:rsidRPr="00A92B0D">
        <w:rPr>
          <w:lang w:eastAsia="en-GB"/>
        </w:rPr>
        <w:t>Children in Need</w:t>
      </w:r>
      <w:r w:rsidR="00FA3A36">
        <w:rPr>
          <w:lang w:eastAsia="en-GB"/>
        </w:rPr>
        <w:tab/>
        <w:t>5</w:t>
      </w:r>
      <w:r w:rsidR="00972C40">
        <w:rPr>
          <w:lang w:eastAsia="en-GB"/>
        </w:rPr>
        <w:t>1</w:t>
      </w:r>
    </w:p>
    <w:p w14:paraId="7D1DEA2B" w14:textId="3A63837E" w:rsidR="00A92B0D" w:rsidRDefault="00EA70D0" w:rsidP="00865376">
      <w:pPr>
        <w:tabs>
          <w:tab w:val="right" w:leader="dot" w:pos="8505"/>
        </w:tabs>
        <w:spacing w:line="200" w:lineRule="exact"/>
        <w:ind w:left="720"/>
        <w:rPr>
          <w:lang w:eastAsia="en-GB"/>
        </w:rPr>
      </w:pPr>
      <w:r w:rsidRPr="00A92B0D">
        <w:rPr>
          <w:lang w:eastAsia="en-GB"/>
        </w:rPr>
        <w:t>Child Protection Plan</w:t>
      </w:r>
      <w:r w:rsidR="00A92B0D">
        <w:rPr>
          <w:lang w:eastAsia="en-GB"/>
        </w:rPr>
        <w:t>s</w:t>
      </w:r>
      <w:r w:rsidR="00FA3A36">
        <w:rPr>
          <w:lang w:eastAsia="en-GB"/>
        </w:rPr>
        <w:tab/>
        <w:t>5</w:t>
      </w:r>
      <w:r w:rsidR="00972C40">
        <w:rPr>
          <w:lang w:eastAsia="en-GB"/>
        </w:rPr>
        <w:t>5</w:t>
      </w:r>
    </w:p>
    <w:p w14:paraId="0EF62F09" w14:textId="085F25E8" w:rsidR="00A92B0D" w:rsidRDefault="00A92B0D" w:rsidP="00865376">
      <w:pPr>
        <w:tabs>
          <w:tab w:val="right" w:leader="dot" w:pos="8505"/>
        </w:tabs>
        <w:spacing w:line="200" w:lineRule="exact"/>
        <w:ind w:left="720"/>
        <w:rPr>
          <w:lang w:eastAsia="en-GB"/>
        </w:rPr>
      </w:pPr>
      <w:r>
        <w:rPr>
          <w:lang w:eastAsia="en-GB"/>
        </w:rPr>
        <w:lastRenderedPageBreak/>
        <w:t>Children in care</w:t>
      </w:r>
      <w:r w:rsidR="00FA3A36">
        <w:rPr>
          <w:lang w:eastAsia="en-GB"/>
        </w:rPr>
        <w:tab/>
      </w:r>
      <w:r w:rsidR="00972C40">
        <w:rPr>
          <w:lang w:eastAsia="en-GB"/>
        </w:rPr>
        <w:t>57</w:t>
      </w:r>
    </w:p>
    <w:p w14:paraId="69C83B56" w14:textId="71A73CB3" w:rsidR="0020360F" w:rsidRDefault="0020360F" w:rsidP="00A705CF">
      <w:pPr>
        <w:tabs>
          <w:tab w:val="right" w:leader="dot" w:pos="8505"/>
        </w:tabs>
        <w:spacing w:line="200" w:lineRule="exact"/>
        <w:ind w:left="1440"/>
        <w:rPr>
          <w:lang w:eastAsia="en-GB"/>
        </w:rPr>
      </w:pPr>
      <w:r>
        <w:rPr>
          <w:lang w:eastAsia="en-GB"/>
        </w:rPr>
        <w:t>Educational attainment of children in care</w:t>
      </w:r>
      <w:r w:rsidR="00A705CF">
        <w:rPr>
          <w:lang w:eastAsia="en-GB"/>
        </w:rPr>
        <w:tab/>
        <w:t>6</w:t>
      </w:r>
      <w:r w:rsidR="00972C40">
        <w:rPr>
          <w:lang w:eastAsia="en-GB"/>
        </w:rPr>
        <w:t>1</w:t>
      </w:r>
    </w:p>
    <w:p w14:paraId="14417B24" w14:textId="57F83D82" w:rsidR="00A92B0D" w:rsidRDefault="00A92B0D" w:rsidP="00865376">
      <w:pPr>
        <w:tabs>
          <w:tab w:val="right" w:leader="dot" w:pos="8505"/>
        </w:tabs>
        <w:spacing w:line="200" w:lineRule="exact"/>
        <w:ind w:left="720"/>
        <w:rPr>
          <w:lang w:eastAsia="en-GB"/>
        </w:rPr>
      </w:pPr>
      <w:r>
        <w:rPr>
          <w:lang w:eastAsia="en-GB"/>
        </w:rPr>
        <w:t>Child deaths</w:t>
      </w:r>
      <w:r w:rsidR="00A705CF">
        <w:rPr>
          <w:lang w:eastAsia="en-GB"/>
        </w:rPr>
        <w:tab/>
        <w:t>6</w:t>
      </w:r>
      <w:r w:rsidR="00972C40">
        <w:rPr>
          <w:lang w:eastAsia="en-GB"/>
        </w:rPr>
        <w:t>2</w:t>
      </w:r>
    </w:p>
    <w:p w14:paraId="315B21BC" w14:textId="1F9BDE7A" w:rsidR="00FC2F23" w:rsidRDefault="00FC2F23" w:rsidP="00865376">
      <w:pPr>
        <w:tabs>
          <w:tab w:val="right" w:leader="dot" w:pos="8505"/>
        </w:tabs>
        <w:spacing w:line="200" w:lineRule="exact"/>
        <w:ind w:left="1440"/>
        <w:rPr>
          <w:lang w:eastAsia="en-GB"/>
        </w:rPr>
      </w:pPr>
      <w:r>
        <w:rPr>
          <w:lang w:eastAsia="en-GB"/>
        </w:rPr>
        <w:t>Unexpected deaths</w:t>
      </w:r>
      <w:r w:rsidR="00A705CF">
        <w:rPr>
          <w:lang w:eastAsia="en-GB"/>
        </w:rPr>
        <w:tab/>
        <w:t>6</w:t>
      </w:r>
      <w:r w:rsidR="00972C40">
        <w:rPr>
          <w:lang w:eastAsia="en-GB"/>
        </w:rPr>
        <w:t>3</w:t>
      </w:r>
    </w:p>
    <w:p w14:paraId="58FB24DB" w14:textId="14A28489" w:rsidR="00FC2F23" w:rsidRDefault="00FC2F23" w:rsidP="00865376">
      <w:pPr>
        <w:tabs>
          <w:tab w:val="right" w:leader="dot" w:pos="8505"/>
        </w:tabs>
        <w:spacing w:line="200" w:lineRule="exact"/>
        <w:ind w:left="1440"/>
        <w:rPr>
          <w:lang w:eastAsia="en-GB"/>
        </w:rPr>
      </w:pPr>
      <w:r>
        <w:rPr>
          <w:lang w:eastAsia="en-GB"/>
        </w:rPr>
        <w:t>Modifiable factors</w:t>
      </w:r>
      <w:r w:rsidR="00A705CF">
        <w:rPr>
          <w:lang w:eastAsia="en-GB"/>
        </w:rPr>
        <w:tab/>
        <w:t>6</w:t>
      </w:r>
      <w:r w:rsidR="00972C40">
        <w:rPr>
          <w:lang w:eastAsia="en-GB"/>
        </w:rPr>
        <w:t>3</w:t>
      </w:r>
    </w:p>
    <w:p w14:paraId="12921D99" w14:textId="1090AEB5" w:rsidR="00A92B0D" w:rsidRDefault="00FC2F23" w:rsidP="00865376">
      <w:pPr>
        <w:tabs>
          <w:tab w:val="right" w:leader="dot" w:pos="8505"/>
        </w:tabs>
        <w:spacing w:line="200" w:lineRule="exact"/>
        <w:ind w:left="720"/>
        <w:rPr>
          <w:lang w:eastAsia="en-GB"/>
        </w:rPr>
      </w:pPr>
      <w:r>
        <w:rPr>
          <w:lang w:eastAsia="en-GB"/>
        </w:rPr>
        <w:t>Inclusion Support Early Yea</w:t>
      </w:r>
      <w:r w:rsidR="00A705CF">
        <w:rPr>
          <w:lang w:eastAsia="en-GB"/>
        </w:rPr>
        <w:t>rs and Child Development Centre</w:t>
      </w:r>
      <w:r w:rsidR="00A705CF">
        <w:rPr>
          <w:lang w:eastAsia="en-GB"/>
        </w:rPr>
        <w:tab/>
        <w:t>6</w:t>
      </w:r>
      <w:r w:rsidR="00972C40">
        <w:rPr>
          <w:lang w:eastAsia="en-GB"/>
        </w:rPr>
        <w:t>4</w:t>
      </w:r>
    </w:p>
    <w:p w14:paraId="4DD48F3E" w14:textId="079FFA95" w:rsidR="00FC2F23" w:rsidRDefault="00FC2F23" w:rsidP="00865376">
      <w:pPr>
        <w:tabs>
          <w:tab w:val="right" w:leader="dot" w:pos="8505"/>
        </w:tabs>
        <w:spacing w:line="200" w:lineRule="exact"/>
        <w:ind w:left="720"/>
        <w:rPr>
          <w:lang w:eastAsia="en-GB"/>
        </w:rPr>
      </w:pPr>
      <w:r>
        <w:rPr>
          <w:lang w:eastAsia="en-GB"/>
        </w:rPr>
        <w:t>Special Educational Needs &amp; Disabilities in Sandwell</w:t>
      </w:r>
      <w:r w:rsidR="00A705CF">
        <w:rPr>
          <w:lang w:eastAsia="en-GB"/>
        </w:rPr>
        <w:tab/>
        <w:t>6</w:t>
      </w:r>
      <w:r w:rsidR="00972C40">
        <w:rPr>
          <w:lang w:eastAsia="en-GB"/>
        </w:rPr>
        <w:t>4</w:t>
      </w:r>
    </w:p>
    <w:p w14:paraId="08DDB5B8" w14:textId="13464B80" w:rsidR="00FC2F23" w:rsidRDefault="00FC2F23" w:rsidP="00865376">
      <w:pPr>
        <w:tabs>
          <w:tab w:val="right" w:leader="dot" w:pos="8505"/>
        </w:tabs>
        <w:spacing w:line="200" w:lineRule="exact"/>
        <w:ind w:left="720"/>
        <w:rPr>
          <w:lang w:eastAsia="en-GB"/>
        </w:rPr>
      </w:pPr>
      <w:r>
        <w:rPr>
          <w:lang w:eastAsia="en-GB"/>
        </w:rPr>
        <w:t>Education, Health &amp; Care Plans</w:t>
      </w:r>
      <w:r w:rsidR="00A705CF">
        <w:rPr>
          <w:lang w:eastAsia="en-GB"/>
        </w:rPr>
        <w:tab/>
      </w:r>
      <w:r w:rsidR="00972C40">
        <w:rPr>
          <w:lang w:eastAsia="en-GB"/>
        </w:rPr>
        <w:t>69</w:t>
      </w:r>
    </w:p>
    <w:p w14:paraId="44617644" w14:textId="30F023A3" w:rsidR="00FC2F23" w:rsidRDefault="00FC2F23" w:rsidP="00865376">
      <w:pPr>
        <w:tabs>
          <w:tab w:val="right" w:leader="dot" w:pos="8505"/>
        </w:tabs>
        <w:spacing w:line="200" w:lineRule="exact"/>
        <w:ind w:left="720"/>
        <w:rPr>
          <w:lang w:eastAsia="en-GB"/>
        </w:rPr>
      </w:pPr>
      <w:r>
        <w:rPr>
          <w:lang w:eastAsia="en-GB"/>
        </w:rPr>
        <w:t>Counselling Psychology</w:t>
      </w:r>
      <w:r w:rsidR="00A705CF">
        <w:rPr>
          <w:lang w:eastAsia="en-GB"/>
        </w:rPr>
        <w:tab/>
        <w:t>7</w:t>
      </w:r>
      <w:r w:rsidR="00972C40">
        <w:rPr>
          <w:lang w:eastAsia="en-GB"/>
        </w:rPr>
        <w:t>1</w:t>
      </w:r>
    </w:p>
    <w:p w14:paraId="65E9F7AF" w14:textId="4FEB7A45" w:rsidR="00FC2F23" w:rsidRDefault="00FC2F23" w:rsidP="00865376">
      <w:pPr>
        <w:tabs>
          <w:tab w:val="right" w:leader="dot" w:pos="8505"/>
        </w:tabs>
        <w:spacing w:line="200" w:lineRule="exact"/>
        <w:ind w:left="720"/>
        <w:rPr>
          <w:lang w:eastAsia="en-GB"/>
        </w:rPr>
      </w:pPr>
      <w:r>
        <w:rPr>
          <w:lang w:eastAsia="en-GB"/>
        </w:rPr>
        <w:t>Visual Impairment</w:t>
      </w:r>
      <w:r w:rsidR="00A705CF">
        <w:rPr>
          <w:lang w:eastAsia="en-GB"/>
        </w:rPr>
        <w:tab/>
        <w:t>7</w:t>
      </w:r>
      <w:r w:rsidR="00972C40">
        <w:rPr>
          <w:lang w:eastAsia="en-GB"/>
        </w:rPr>
        <w:t>2</w:t>
      </w:r>
    </w:p>
    <w:p w14:paraId="3D525E15" w14:textId="056590CA" w:rsidR="00FC2F23" w:rsidRDefault="00FC2F23" w:rsidP="00865376">
      <w:pPr>
        <w:tabs>
          <w:tab w:val="right" w:leader="dot" w:pos="8505"/>
        </w:tabs>
        <w:spacing w:line="200" w:lineRule="exact"/>
        <w:ind w:left="720"/>
        <w:rPr>
          <w:lang w:eastAsia="en-GB"/>
        </w:rPr>
      </w:pPr>
      <w:r>
        <w:rPr>
          <w:lang w:eastAsia="en-GB"/>
        </w:rPr>
        <w:t>Hearing Impairment</w:t>
      </w:r>
      <w:r w:rsidR="00A705CF">
        <w:rPr>
          <w:lang w:eastAsia="en-GB"/>
        </w:rPr>
        <w:tab/>
        <w:t>7</w:t>
      </w:r>
      <w:r w:rsidR="00972C40">
        <w:rPr>
          <w:lang w:eastAsia="en-GB"/>
        </w:rPr>
        <w:t>4</w:t>
      </w:r>
    </w:p>
    <w:p w14:paraId="53835936" w14:textId="033A8B01" w:rsidR="00FC2F23" w:rsidRDefault="00FC2F23" w:rsidP="00865376">
      <w:pPr>
        <w:tabs>
          <w:tab w:val="right" w:leader="dot" w:pos="8505"/>
        </w:tabs>
        <w:spacing w:line="200" w:lineRule="exact"/>
        <w:ind w:left="720"/>
        <w:rPr>
          <w:lang w:eastAsia="en-GB"/>
        </w:rPr>
      </w:pPr>
      <w:r>
        <w:rPr>
          <w:lang w:eastAsia="en-GB"/>
        </w:rPr>
        <w:t>Autism Spectrum Disorder</w:t>
      </w:r>
      <w:r w:rsidR="00A705CF">
        <w:rPr>
          <w:lang w:eastAsia="en-GB"/>
        </w:rPr>
        <w:tab/>
        <w:t>7</w:t>
      </w:r>
      <w:r w:rsidR="00972C40">
        <w:rPr>
          <w:lang w:eastAsia="en-GB"/>
        </w:rPr>
        <w:t>6</w:t>
      </w:r>
    </w:p>
    <w:p w14:paraId="36660CFD" w14:textId="602AC533" w:rsidR="00FC2F23" w:rsidRDefault="00FC2F23" w:rsidP="00865376">
      <w:pPr>
        <w:tabs>
          <w:tab w:val="right" w:leader="dot" w:pos="8505"/>
        </w:tabs>
        <w:spacing w:line="200" w:lineRule="exact"/>
        <w:ind w:left="720"/>
        <w:rPr>
          <w:lang w:eastAsia="en-GB"/>
        </w:rPr>
      </w:pPr>
      <w:r>
        <w:rPr>
          <w:lang w:eastAsia="en-GB"/>
        </w:rPr>
        <w:t>Children’s Therapy Service</w:t>
      </w:r>
      <w:r w:rsidR="00A705CF">
        <w:rPr>
          <w:lang w:eastAsia="en-GB"/>
        </w:rPr>
        <w:tab/>
      </w:r>
      <w:r w:rsidR="00972C40">
        <w:rPr>
          <w:lang w:eastAsia="en-GB"/>
        </w:rPr>
        <w:t>78</w:t>
      </w:r>
    </w:p>
    <w:p w14:paraId="59A05911" w14:textId="77777777" w:rsidR="00476DF7" w:rsidRDefault="00476DF7" w:rsidP="00865376">
      <w:pPr>
        <w:tabs>
          <w:tab w:val="right" w:leader="dot" w:pos="8505"/>
        </w:tabs>
        <w:spacing w:line="200" w:lineRule="exact"/>
        <w:rPr>
          <w:lang w:eastAsia="en-GB"/>
        </w:rPr>
      </w:pPr>
    </w:p>
    <w:p w14:paraId="4878E76E" w14:textId="1045ACC9" w:rsidR="00A85D52" w:rsidRDefault="00476DF7" w:rsidP="00865376">
      <w:pPr>
        <w:tabs>
          <w:tab w:val="right" w:leader="dot" w:pos="8505"/>
        </w:tabs>
        <w:spacing w:line="200" w:lineRule="exact"/>
        <w:rPr>
          <w:sz w:val="24"/>
          <w:szCs w:val="24"/>
          <w:lang w:eastAsia="en-GB"/>
        </w:rPr>
      </w:pPr>
      <w:r w:rsidRPr="0025442B">
        <w:rPr>
          <w:sz w:val="24"/>
          <w:szCs w:val="24"/>
          <w:lang w:eastAsia="en-GB"/>
        </w:rPr>
        <w:t xml:space="preserve">Current </w:t>
      </w:r>
      <w:r w:rsidR="00A85D52" w:rsidRPr="0025442B">
        <w:rPr>
          <w:sz w:val="24"/>
          <w:szCs w:val="24"/>
          <w:lang w:eastAsia="en-GB"/>
        </w:rPr>
        <w:t>Service</w:t>
      </w:r>
      <w:r w:rsidRPr="0025442B">
        <w:rPr>
          <w:sz w:val="24"/>
          <w:szCs w:val="24"/>
          <w:lang w:eastAsia="en-GB"/>
        </w:rPr>
        <w:t xml:space="preserve"> Provision</w:t>
      </w:r>
      <w:r w:rsidR="00A705CF">
        <w:rPr>
          <w:sz w:val="24"/>
          <w:szCs w:val="24"/>
          <w:lang w:eastAsia="en-GB"/>
        </w:rPr>
        <w:tab/>
        <w:t>8</w:t>
      </w:r>
      <w:r w:rsidR="00972C40">
        <w:rPr>
          <w:sz w:val="24"/>
          <w:szCs w:val="24"/>
          <w:lang w:eastAsia="en-GB"/>
        </w:rPr>
        <w:t>2</w:t>
      </w:r>
    </w:p>
    <w:p w14:paraId="11DA3249" w14:textId="5E14809F" w:rsidR="00A705CF" w:rsidRDefault="00A705CF" w:rsidP="00A705CF">
      <w:pPr>
        <w:tabs>
          <w:tab w:val="right" w:leader="dot" w:pos="8505"/>
        </w:tabs>
        <w:spacing w:line="200" w:lineRule="exact"/>
        <w:ind w:left="720"/>
        <w:rPr>
          <w:lang w:eastAsia="en-GB"/>
        </w:rPr>
      </w:pPr>
      <w:r w:rsidRPr="00A705CF">
        <w:rPr>
          <w:lang w:eastAsia="en-GB"/>
        </w:rPr>
        <w:t>Maternity Services in Sandwell</w:t>
      </w:r>
      <w:r>
        <w:rPr>
          <w:lang w:eastAsia="en-GB"/>
        </w:rPr>
        <w:tab/>
        <w:t>8</w:t>
      </w:r>
      <w:r w:rsidR="00972C40">
        <w:rPr>
          <w:lang w:eastAsia="en-GB"/>
        </w:rPr>
        <w:t>2</w:t>
      </w:r>
    </w:p>
    <w:p w14:paraId="3DA48E41" w14:textId="697841B8" w:rsidR="00A705CF" w:rsidRDefault="00A705CF" w:rsidP="00A705CF">
      <w:pPr>
        <w:tabs>
          <w:tab w:val="right" w:leader="dot" w:pos="8505"/>
        </w:tabs>
        <w:spacing w:line="200" w:lineRule="exact"/>
        <w:ind w:left="720"/>
        <w:rPr>
          <w:lang w:eastAsia="en-GB"/>
        </w:rPr>
      </w:pPr>
      <w:r>
        <w:rPr>
          <w:lang w:eastAsia="en-GB"/>
        </w:rPr>
        <w:t>Primary Care</w:t>
      </w:r>
      <w:r>
        <w:rPr>
          <w:lang w:eastAsia="en-GB"/>
        </w:rPr>
        <w:tab/>
        <w:t>8</w:t>
      </w:r>
      <w:r w:rsidR="00972C40">
        <w:rPr>
          <w:lang w:eastAsia="en-GB"/>
        </w:rPr>
        <w:t>2</w:t>
      </w:r>
    </w:p>
    <w:p w14:paraId="4A97CC20" w14:textId="1287EABF" w:rsidR="00A705CF" w:rsidRDefault="00A705CF" w:rsidP="00A705CF">
      <w:pPr>
        <w:tabs>
          <w:tab w:val="right" w:leader="dot" w:pos="8505"/>
        </w:tabs>
        <w:spacing w:line="200" w:lineRule="exact"/>
        <w:ind w:left="720"/>
        <w:rPr>
          <w:lang w:eastAsia="en-GB"/>
        </w:rPr>
      </w:pPr>
      <w:r>
        <w:rPr>
          <w:lang w:eastAsia="en-GB"/>
        </w:rPr>
        <w:t>Health Visiting Services</w:t>
      </w:r>
      <w:r>
        <w:rPr>
          <w:lang w:eastAsia="en-GB"/>
        </w:rPr>
        <w:tab/>
        <w:t>8</w:t>
      </w:r>
      <w:r w:rsidR="00972C40">
        <w:rPr>
          <w:lang w:eastAsia="en-GB"/>
        </w:rPr>
        <w:t>3</w:t>
      </w:r>
    </w:p>
    <w:p w14:paraId="70FFC866" w14:textId="14E3FED3" w:rsidR="00A705CF" w:rsidRDefault="00A705CF" w:rsidP="00A705CF">
      <w:pPr>
        <w:tabs>
          <w:tab w:val="right" w:leader="dot" w:pos="8505"/>
        </w:tabs>
        <w:spacing w:line="200" w:lineRule="exact"/>
        <w:ind w:left="720"/>
        <w:rPr>
          <w:lang w:eastAsia="en-GB"/>
        </w:rPr>
      </w:pPr>
      <w:r>
        <w:rPr>
          <w:lang w:eastAsia="en-GB"/>
        </w:rPr>
        <w:t>School Health Nursing Service</w:t>
      </w:r>
      <w:r>
        <w:rPr>
          <w:lang w:eastAsia="en-GB"/>
        </w:rPr>
        <w:tab/>
        <w:t>8</w:t>
      </w:r>
      <w:r w:rsidR="00972C40">
        <w:rPr>
          <w:lang w:eastAsia="en-GB"/>
        </w:rPr>
        <w:t>4</w:t>
      </w:r>
    </w:p>
    <w:p w14:paraId="7922A4BB" w14:textId="49F151E3" w:rsidR="00A705CF" w:rsidRDefault="00A705CF" w:rsidP="00A705CF">
      <w:pPr>
        <w:tabs>
          <w:tab w:val="right" w:leader="dot" w:pos="8505"/>
        </w:tabs>
        <w:spacing w:line="200" w:lineRule="exact"/>
        <w:ind w:left="720"/>
        <w:rPr>
          <w:lang w:eastAsia="en-GB"/>
        </w:rPr>
      </w:pPr>
      <w:r>
        <w:rPr>
          <w:lang w:eastAsia="en-GB"/>
        </w:rPr>
        <w:t>Children’s Centres</w:t>
      </w:r>
      <w:r>
        <w:rPr>
          <w:lang w:eastAsia="en-GB"/>
        </w:rPr>
        <w:tab/>
        <w:t>8</w:t>
      </w:r>
      <w:r w:rsidR="00972C40">
        <w:rPr>
          <w:lang w:eastAsia="en-GB"/>
        </w:rPr>
        <w:t>4</w:t>
      </w:r>
    </w:p>
    <w:p w14:paraId="0A6317B0" w14:textId="16F6D9E6" w:rsidR="00A705CF" w:rsidRDefault="00A705CF" w:rsidP="00A705CF">
      <w:pPr>
        <w:tabs>
          <w:tab w:val="right" w:leader="dot" w:pos="8505"/>
        </w:tabs>
        <w:spacing w:line="200" w:lineRule="exact"/>
        <w:ind w:left="720"/>
        <w:rPr>
          <w:lang w:eastAsia="en-GB"/>
        </w:rPr>
      </w:pPr>
      <w:r>
        <w:rPr>
          <w:lang w:eastAsia="en-GB"/>
        </w:rPr>
        <w:t>Inclusive Learning Services</w:t>
      </w:r>
      <w:r>
        <w:rPr>
          <w:lang w:eastAsia="en-GB"/>
        </w:rPr>
        <w:tab/>
        <w:t>8</w:t>
      </w:r>
      <w:r w:rsidR="00972C40">
        <w:rPr>
          <w:lang w:eastAsia="en-GB"/>
        </w:rPr>
        <w:t>5</w:t>
      </w:r>
    </w:p>
    <w:p w14:paraId="0D71CD3E" w14:textId="475E5412" w:rsidR="00A705CF" w:rsidRDefault="00A705CF" w:rsidP="00A705CF">
      <w:pPr>
        <w:tabs>
          <w:tab w:val="right" w:leader="dot" w:pos="8505"/>
        </w:tabs>
        <w:spacing w:line="200" w:lineRule="exact"/>
        <w:ind w:left="720"/>
        <w:rPr>
          <w:lang w:eastAsia="en-GB"/>
        </w:rPr>
      </w:pPr>
      <w:r>
        <w:rPr>
          <w:lang w:eastAsia="en-GB"/>
        </w:rPr>
        <w:t>Sandwell Library Service</w:t>
      </w:r>
      <w:r>
        <w:rPr>
          <w:lang w:eastAsia="en-GB"/>
        </w:rPr>
        <w:tab/>
      </w:r>
      <w:r w:rsidR="00972C40">
        <w:rPr>
          <w:lang w:eastAsia="en-GB"/>
        </w:rPr>
        <w:t>88</w:t>
      </w:r>
    </w:p>
    <w:p w14:paraId="66AFF5B2" w14:textId="0771A481" w:rsidR="00995EB0" w:rsidRDefault="00995EB0" w:rsidP="00A705CF">
      <w:pPr>
        <w:tabs>
          <w:tab w:val="right" w:leader="dot" w:pos="8505"/>
        </w:tabs>
        <w:spacing w:line="200" w:lineRule="exact"/>
        <w:ind w:left="720"/>
        <w:rPr>
          <w:lang w:eastAsia="en-GB"/>
        </w:rPr>
      </w:pPr>
    </w:p>
    <w:p w14:paraId="2DC09F7D" w14:textId="16DC9394" w:rsidR="00995EB0" w:rsidRPr="00995EB0" w:rsidRDefault="00995EB0" w:rsidP="00995EB0">
      <w:pPr>
        <w:tabs>
          <w:tab w:val="right" w:leader="dot" w:pos="8505"/>
        </w:tabs>
        <w:spacing w:line="200" w:lineRule="exact"/>
        <w:rPr>
          <w:sz w:val="24"/>
          <w:szCs w:val="24"/>
          <w:lang w:eastAsia="en-GB"/>
        </w:rPr>
      </w:pPr>
      <w:r w:rsidRPr="00995EB0">
        <w:rPr>
          <w:sz w:val="24"/>
          <w:szCs w:val="24"/>
          <w:lang w:eastAsia="en-GB"/>
        </w:rPr>
        <w:t>Recommendations</w:t>
      </w:r>
      <w:r w:rsidRPr="00995EB0">
        <w:rPr>
          <w:sz w:val="24"/>
          <w:szCs w:val="24"/>
          <w:lang w:eastAsia="en-GB"/>
        </w:rPr>
        <w:tab/>
        <w:t>9</w:t>
      </w:r>
      <w:r w:rsidR="00972C40">
        <w:rPr>
          <w:sz w:val="24"/>
          <w:szCs w:val="24"/>
          <w:lang w:eastAsia="en-GB"/>
        </w:rPr>
        <w:t>0</w:t>
      </w:r>
    </w:p>
    <w:p w14:paraId="439B8DC4" w14:textId="3E0F010E" w:rsidR="00FC2F23" w:rsidRPr="00A705CF" w:rsidRDefault="00FC2F23" w:rsidP="00865376">
      <w:pPr>
        <w:tabs>
          <w:tab w:val="right" w:leader="dot" w:pos="8505"/>
        </w:tabs>
        <w:spacing w:line="200" w:lineRule="exact"/>
        <w:ind w:left="720"/>
        <w:rPr>
          <w:lang w:eastAsia="en-GB"/>
        </w:rPr>
      </w:pPr>
    </w:p>
    <w:p w14:paraId="60A843A3" w14:textId="77777777" w:rsidR="00FC2F23" w:rsidRDefault="00FC2F23" w:rsidP="00865376">
      <w:pPr>
        <w:tabs>
          <w:tab w:val="right" w:leader="dot" w:pos="8505"/>
        </w:tabs>
        <w:spacing w:line="200" w:lineRule="exact"/>
        <w:ind w:left="720"/>
        <w:rPr>
          <w:lang w:eastAsia="en-GB"/>
        </w:rPr>
      </w:pPr>
    </w:p>
    <w:p w14:paraId="181E9997" w14:textId="77777777" w:rsidR="00A92B0D" w:rsidRPr="00A92B0D" w:rsidRDefault="00A92B0D" w:rsidP="00865376">
      <w:pPr>
        <w:tabs>
          <w:tab w:val="right" w:leader="dot" w:pos="8505"/>
        </w:tabs>
        <w:rPr>
          <w:lang w:eastAsia="en-GB"/>
        </w:rPr>
      </w:pPr>
    </w:p>
    <w:p w14:paraId="5C5FDF1D" w14:textId="77777777" w:rsidR="008F2363" w:rsidRDefault="008F2363">
      <w:pPr>
        <w:spacing w:after="160" w:line="259" w:lineRule="auto"/>
        <w:sectPr w:rsidR="008F2363" w:rsidSect="008F2363">
          <w:pgSz w:w="11906" w:h="16838"/>
          <w:pgMar w:top="1440" w:right="1440" w:bottom="1440" w:left="1440" w:header="709" w:footer="709" w:gutter="0"/>
          <w:pgNumType w:start="1"/>
          <w:cols w:space="708"/>
          <w:docGrid w:linePitch="360"/>
        </w:sectPr>
      </w:pPr>
      <w:r>
        <w:br w:type="page"/>
      </w:r>
    </w:p>
    <w:p w14:paraId="5B611F9A" w14:textId="7A43A1B7" w:rsidR="00B3562C" w:rsidRPr="0001277C" w:rsidRDefault="00B3562C" w:rsidP="0001277C">
      <w:pPr>
        <w:pStyle w:val="Heading1"/>
      </w:pPr>
      <w:r w:rsidRPr="0001277C">
        <w:lastRenderedPageBreak/>
        <w:t>Demographics</w:t>
      </w:r>
      <w:r w:rsidR="00E74157">
        <w:t>: 0-5 Years</w:t>
      </w:r>
    </w:p>
    <w:p w14:paraId="3481D5CF" w14:textId="2727764F" w:rsidR="00B27424" w:rsidRPr="00B27424" w:rsidRDefault="004720DA" w:rsidP="00B27424">
      <w:r w:rsidRPr="004720DA">
        <w:rPr>
          <w:noProof/>
        </w:rPr>
        <w:drawing>
          <wp:inline distT="0" distB="0" distL="0" distR="0" wp14:anchorId="222E27B8" wp14:editId="5D9EC1FB">
            <wp:extent cx="6004560" cy="7543273"/>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095" cy="7546457"/>
                    </a:xfrm>
                    <a:prstGeom prst="rect">
                      <a:avLst/>
                    </a:prstGeom>
                    <a:noFill/>
                    <a:ln>
                      <a:noFill/>
                    </a:ln>
                  </pic:spPr>
                </pic:pic>
              </a:graphicData>
            </a:graphic>
          </wp:inline>
        </w:drawing>
      </w:r>
    </w:p>
    <w:p w14:paraId="12404010" w14:textId="08BBC1A0" w:rsidR="00DD7BAA" w:rsidRPr="00DD7BAA" w:rsidRDefault="00DD7BAA" w:rsidP="00DD7BAA">
      <w:pPr>
        <w:spacing w:after="360" w:line="360" w:lineRule="atLeast"/>
        <w:rPr>
          <w:rFonts w:eastAsia="Times New Roman" w:cstheme="minorHAnsi"/>
          <w:color w:val="333333"/>
          <w:sz w:val="24"/>
          <w:szCs w:val="24"/>
          <w:lang w:val="en" w:eastAsia="en-GB"/>
        </w:rPr>
      </w:pPr>
      <w:r w:rsidRPr="00DD7BAA">
        <w:rPr>
          <w:rFonts w:eastAsia="Times New Roman" w:cstheme="minorHAnsi"/>
          <w:color w:val="333333"/>
          <w:sz w:val="24"/>
          <w:szCs w:val="24"/>
          <w:lang w:val="en" w:eastAsia="en-GB"/>
        </w:rPr>
        <w:t>Sandwell is a metropolitan borough in the Black Country, which is made up of six towns - Oldbury, Rowley Regis, Smethwick, Tipton, Wednesbury and West Bromwich.</w:t>
      </w:r>
    </w:p>
    <w:p w14:paraId="45E6711E" w14:textId="77777777" w:rsidR="00DD7BAA" w:rsidRPr="00DD7BAA" w:rsidRDefault="00DD7BAA" w:rsidP="00DD7BAA">
      <w:pPr>
        <w:spacing w:after="360" w:line="360" w:lineRule="atLeast"/>
        <w:rPr>
          <w:rFonts w:ascii="Arial" w:eastAsia="Times New Roman" w:hAnsi="Arial" w:cs="Arial"/>
          <w:color w:val="333333"/>
          <w:sz w:val="21"/>
          <w:szCs w:val="21"/>
          <w:lang w:val="en" w:eastAsia="en-GB"/>
        </w:rPr>
      </w:pPr>
      <w:r w:rsidRPr="00DD7BAA">
        <w:rPr>
          <w:rFonts w:eastAsia="Times New Roman" w:cstheme="minorHAnsi"/>
          <w:color w:val="333333"/>
          <w:sz w:val="24"/>
          <w:szCs w:val="24"/>
          <w:lang w:val="en" w:eastAsia="en-GB"/>
        </w:rPr>
        <w:lastRenderedPageBreak/>
        <w:t xml:space="preserve">Located in the West Midlands, Sandwell borders Birmingham city, Dudley borough, Walsall borough and Wolverhampton city. </w:t>
      </w:r>
    </w:p>
    <w:p w14:paraId="60F468B3" w14:textId="551B565F" w:rsidR="00A928E3" w:rsidRDefault="006240B5" w:rsidP="003A05C6">
      <w:pPr>
        <w:pStyle w:val="ListParagraph"/>
        <w:numPr>
          <w:ilvl w:val="0"/>
          <w:numId w:val="1"/>
        </w:numPr>
        <w:ind w:left="714" w:hanging="357"/>
        <w:contextualSpacing w:val="0"/>
        <w:rPr>
          <w:rFonts w:cstheme="majorHAnsi"/>
          <w:sz w:val="24"/>
          <w:szCs w:val="24"/>
        </w:rPr>
      </w:pPr>
      <w:r w:rsidRPr="00580BD2">
        <w:rPr>
          <w:rFonts w:cstheme="majorHAnsi"/>
          <w:sz w:val="24"/>
          <w:szCs w:val="24"/>
        </w:rPr>
        <w:t>2</w:t>
      </w:r>
      <w:r w:rsidR="004720DA">
        <w:rPr>
          <w:rFonts w:cstheme="majorHAnsi"/>
          <w:sz w:val="24"/>
          <w:szCs w:val="24"/>
        </w:rPr>
        <w:t>7</w:t>
      </w:r>
      <w:r w:rsidR="00A438E1" w:rsidRPr="00580BD2">
        <w:rPr>
          <w:rFonts w:cstheme="majorHAnsi"/>
          <w:sz w:val="24"/>
          <w:szCs w:val="24"/>
        </w:rPr>
        <w:t>,</w:t>
      </w:r>
      <w:r w:rsidR="004720DA">
        <w:rPr>
          <w:rFonts w:cstheme="majorHAnsi"/>
          <w:sz w:val="24"/>
          <w:szCs w:val="24"/>
        </w:rPr>
        <w:t>738</w:t>
      </w:r>
      <w:r w:rsidRPr="00580BD2">
        <w:rPr>
          <w:rFonts w:cstheme="majorHAnsi"/>
          <w:sz w:val="24"/>
          <w:szCs w:val="24"/>
        </w:rPr>
        <w:t xml:space="preserve"> children aged 0-5 live in Sandwell</w:t>
      </w:r>
      <w:r w:rsidR="00501AE9" w:rsidRPr="00580BD2">
        <w:rPr>
          <w:rFonts w:cstheme="majorHAnsi"/>
          <w:sz w:val="24"/>
          <w:szCs w:val="24"/>
        </w:rPr>
        <w:t xml:space="preserve">.  Children aged 0-5 represent </w:t>
      </w:r>
      <w:r w:rsidR="00A438E1" w:rsidRPr="00580BD2">
        <w:rPr>
          <w:rFonts w:cstheme="majorHAnsi"/>
          <w:sz w:val="24"/>
          <w:szCs w:val="24"/>
        </w:rPr>
        <w:t>8.</w:t>
      </w:r>
      <w:r w:rsidR="004720DA">
        <w:rPr>
          <w:rFonts w:cstheme="majorHAnsi"/>
          <w:sz w:val="24"/>
          <w:szCs w:val="24"/>
        </w:rPr>
        <w:t>4</w:t>
      </w:r>
      <w:r w:rsidR="00B3562C" w:rsidRPr="00580BD2">
        <w:rPr>
          <w:rFonts w:cstheme="majorHAnsi"/>
          <w:sz w:val="24"/>
          <w:szCs w:val="24"/>
        </w:rPr>
        <w:t>% of Sandwell</w:t>
      </w:r>
      <w:r w:rsidR="005B1437" w:rsidRPr="00580BD2">
        <w:rPr>
          <w:rFonts w:cstheme="majorHAnsi"/>
          <w:sz w:val="24"/>
          <w:szCs w:val="24"/>
        </w:rPr>
        <w:t xml:space="preserve">’s total </w:t>
      </w:r>
      <w:r w:rsidR="00B3562C" w:rsidRPr="00580BD2">
        <w:rPr>
          <w:rFonts w:cstheme="majorHAnsi"/>
          <w:sz w:val="24"/>
          <w:szCs w:val="24"/>
        </w:rPr>
        <w:t>population</w:t>
      </w:r>
      <w:r w:rsidRPr="00580BD2">
        <w:rPr>
          <w:rFonts w:cstheme="majorHAnsi"/>
          <w:sz w:val="24"/>
          <w:szCs w:val="24"/>
        </w:rPr>
        <w:t xml:space="preserve"> </w:t>
      </w:r>
      <w:r w:rsidR="007247EF" w:rsidRPr="00580BD2">
        <w:rPr>
          <w:rFonts w:cstheme="majorHAnsi"/>
          <w:sz w:val="24"/>
          <w:szCs w:val="24"/>
        </w:rPr>
        <w:t>(20</w:t>
      </w:r>
      <w:r w:rsidR="004720DA">
        <w:rPr>
          <w:rFonts w:cstheme="majorHAnsi"/>
          <w:sz w:val="24"/>
          <w:szCs w:val="24"/>
        </w:rPr>
        <w:t>20</w:t>
      </w:r>
      <w:r w:rsidR="007247EF" w:rsidRPr="00580BD2">
        <w:rPr>
          <w:rFonts w:cstheme="majorHAnsi"/>
          <w:sz w:val="24"/>
          <w:szCs w:val="24"/>
        </w:rPr>
        <w:t xml:space="preserve"> ONS</w:t>
      </w:r>
      <w:r w:rsidR="00B3562C" w:rsidRPr="00580BD2">
        <w:rPr>
          <w:rFonts w:cstheme="majorHAnsi"/>
          <w:sz w:val="24"/>
          <w:szCs w:val="24"/>
        </w:rPr>
        <w:t xml:space="preserve"> Estimates)</w:t>
      </w:r>
      <w:r w:rsidR="00845EEC" w:rsidRPr="00580BD2">
        <w:rPr>
          <w:rFonts w:cstheme="majorHAnsi"/>
          <w:sz w:val="24"/>
          <w:szCs w:val="24"/>
        </w:rPr>
        <w:t>.</w:t>
      </w:r>
      <w:r w:rsidR="005D52F7">
        <w:rPr>
          <w:rFonts w:cstheme="majorHAnsi"/>
          <w:sz w:val="24"/>
          <w:szCs w:val="24"/>
        </w:rPr>
        <w:t xml:space="preserve"> </w:t>
      </w:r>
    </w:p>
    <w:p w14:paraId="63B91BB4" w14:textId="42C83EA4" w:rsidR="00BE1B31" w:rsidRPr="00580BD2" w:rsidRDefault="003A05C6" w:rsidP="003A05C6">
      <w:pPr>
        <w:pStyle w:val="ListParagraph"/>
        <w:numPr>
          <w:ilvl w:val="0"/>
          <w:numId w:val="1"/>
        </w:numPr>
        <w:ind w:left="714" w:hanging="357"/>
        <w:contextualSpacing w:val="0"/>
        <w:rPr>
          <w:rFonts w:cstheme="majorHAnsi"/>
          <w:sz w:val="24"/>
          <w:szCs w:val="24"/>
        </w:rPr>
      </w:pPr>
      <w:r>
        <w:rPr>
          <w:rFonts w:cstheme="majorHAnsi"/>
          <w:sz w:val="24"/>
          <w:szCs w:val="24"/>
        </w:rPr>
        <w:t xml:space="preserve">ONS Population projections show that the number of 0-5s in Sandwell will fall by 1.5% between 2020 and 2025, and a further 0.2% by 2030. This follows a similar pattern nationally. </w:t>
      </w:r>
    </w:p>
    <w:p w14:paraId="62061EE5" w14:textId="75FF2FF1" w:rsidR="004D423A" w:rsidRPr="00580BD2" w:rsidRDefault="00845EEC" w:rsidP="003A05C6">
      <w:pPr>
        <w:pStyle w:val="ListParagraph"/>
        <w:numPr>
          <w:ilvl w:val="0"/>
          <w:numId w:val="1"/>
        </w:numPr>
        <w:ind w:left="714" w:hanging="357"/>
        <w:contextualSpacing w:val="0"/>
        <w:rPr>
          <w:rFonts w:cstheme="majorHAnsi"/>
          <w:sz w:val="24"/>
          <w:szCs w:val="24"/>
        </w:rPr>
      </w:pPr>
      <w:r w:rsidRPr="00580BD2">
        <w:rPr>
          <w:rFonts w:cstheme="majorHAnsi"/>
          <w:sz w:val="24"/>
          <w:szCs w:val="24"/>
        </w:rPr>
        <w:t>Almost half of Sandwell’s 0-5-year olds live in either West Bromwich (23.</w:t>
      </w:r>
      <w:r w:rsidR="004670D2">
        <w:rPr>
          <w:rFonts w:cstheme="majorHAnsi"/>
          <w:sz w:val="24"/>
          <w:szCs w:val="24"/>
        </w:rPr>
        <w:t>7</w:t>
      </w:r>
      <w:r w:rsidRPr="00580BD2">
        <w:rPr>
          <w:rFonts w:cstheme="majorHAnsi"/>
          <w:sz w:val="24"/>
          <w:szCs w:val="24"/>
        </w:rPr>
        <w:t>%) or Smethwick (21.</w:t>
      </w:r>
      <w:r w:rsidR="004670D2">
        <w:rPr>
          <w:rFonts w:cstheme="majorHAnsi"/>
          <w:sz w:val="24"/>
          <w:szCs w:val="24"/>
        </w:rPr>
        <w:t>1</w:t>
      </w:r>
      <w:r w:rsidRPr="00580BD2">
        <w:rPr>
          <w:rFonts w:cstheme="majorHAnsi"/>
          <w:sz w:val="24"/>
          <w:szCs w:val="24"/>
        </w:rPr>
        <w:t>%)</w:t>
      </w:r>
      <w:r w:rsidR="00A438E1" w:rsidRPr="00580BD2">
        <w:rPr>
          <w:rFonts w:cstheme="majorHAnsi"/>
          <w:sz w:val="24"/>
          <w:szCs w:val="24"/>
        </w:rPr>
        <w:t xml:space="preserve"> (201</w:t>
      </w:r>
      <w:r w:rsidR="00290CCE">
        <w:rPr>
          <w:rFonts w:cstheme="majorHAnsi"/>
          <w:sz w:val="24"/>
          <w:szCs w:val="24"/>
        </w:rPr>
        <w:t>8</w:t>
      </w:r>
      <w:r w:rsidR="00A438E1" w:rsidRPr="00580BD2">
        <w:rPr>
          <w:rFonts w:cstheme="majorHAnsi"/>
          <w:sz w:val="24"/>
          <w:szCs w:val="24"/>
        </w:rPr>
        <w:t xml:space="preserve"> ONS Estimates).</w:t>
      </w:r>
      <w:r w:rsidR="00962BFC" w:rsidRPr="00580BD2">
        <w:rPr>
          <w:rFonts w:cstheme="majorHAnsi"/>
          <w:sz w:val="24"/>
          <w:szCs w:val="24"/>
        </w:rPr>
        <w:t xml:space="preserve"> 10.</w:t>
      </w:r>
      <w:r w:rsidR="004670D2">
        <w:rPr>
          <w:rFonts w:cstheme="majorHAnsi"/>
          <w:sz w:val="24"/>
          <w:szCs w:val="24"/>
        </w:rPr>
        <w:t>1</w:t>
      </w:r>
      <w:r w:rsidR="00962BFC" w:rsidRPr="00580BD2">
        <w:rPr>
          <w:rFonts w:cstheme="majorHAnsi"/>
          <w:sz w:val="24"/>
          <w:szCs w:val="24"/>
        </w:rPr>
        <w:t>% of the population in Smethwick is aged 5 &amp; under. Soho &amp; Victoria ward has a particularly high proportion of children aged 0-5 (</w:t>
      </w:r>
      <w:r w:rsidR="004670D2">
        <w:rPr>
          <w:rFonts w:cstheme="majorHAnsi"/>
          <w:sz w:val="24"/>
          <w:szCs w:val="24"/>
        </w:rPr>
        <w:t>11.5</w:t>
      </w:r>
      <w:r w:rsidR="00962BFC" w:rsidRPr="00580BD2">
        <w:rPr>
          <w:rFonts w:cstheme="majorHAnsi"/>
          <w:sz w:val="24"/>
          <w:szCs w:val="24"/>
        </w:rPr>
        <w:t>%).</w:t>
      </w:r>
    </w:p>
    <w:p w14:paraId="2557180C" w14:textId="26F7103D" w:rsidR="00B3562C" w:rsidRPr="00580BD2" w:rsidRDefault="00B3562C" w:rsidP="003A05C6">
      <w:pPr>
        <w:pStyle w:val="ListParagraph"/>
        <w:numPr>
          <w:ilvl w:val="0"/>
          <w:numId w:val="1"/>
        </w:numPr>
        <w:ind w:left="714" w:hanging="357"/>
        <w:contextualSpacing w:val="0"/>
        <w:rPr>
          <w:rFonts w:cstheme="majorHAnsi"/>
          <w:sz w:val="24"/>
          <w:szCs w:val="24"/>
        </w:rPr>
      </w:pPr>
      <w:r w:rsidRPr="00580BD2">
        <w:rPr>
          <w:rFonts w:cstheme="majorHAnsi"/>
          <w:sz w:val="24"/>
          <w:szCs w:val="24"/>
        </w:rPr>
        <w:t xml:space="preserve">Sandwell is a diverse borough with 30% </w:t>
      </w:r>
      <w:r w:rsidR="00297EF9" w:rsidRPr="00580BD2">
        <w:rPr>
          <w:rFonts w:cstheme="majorHAnsi"/>
          <w:sz w:val="24"/>
          <w:szCs w:val="24"/>
        </w:rPr>
        <w:t xml:space="preserve">of its population </w:t>
      </w:r>
      <w:r w:rsidRPr="00580BD2">
        <w:rPr>
          <w:rFonts w:cstheme="majorHAnsi"/>
          <w:sz w:val="24"/>
          <w:szCs w:val="24"/>
        </w:rPr>
        <w:t xml:space="preserve">from </w:t>
      </w:r>
      <w:r w:rsidR="00303F31">
        <w:rPr>
          <w:rFonts w:cstheme="majorHAnsi"/>
          <w:sz w:val="24"/>
          <w:szCs w:val="24"/>
        </w:rPr>
        <w:t>BAME</w:t>
      </w:r>
      <w:r w:rsidR="00297EF9" w:rsidRPr="00580BD2">
        <w:rPr>
          <w:rFonts w:cstheme="majorHAnsi"/>
          <w:sz w:val="24"/>
          <w:szCs w:val="24"/>
        </w:rPr>
        <w:t xml:space="preserve"> </w:t>
      </w:r>
      <w:r w:rsidRPr="00580BD2">
        <w:rPr>
          <w:rFonts w:cstheme="majorHAnsi"/>
          <w:sz w:val="24"/>
          <w:szCs w:val="24"/>
        </w:rPr>
        <w:t>groups (2011 Census)</w:t>
      </w:r>
      <w:r w:rsidR="00A928E3" w:rsidRPr="00580BD2">
        <w:rPr>
          <w:rFonts w:cstheme="majorHAnsi"/>
          <w:sz w:val="24"/>
          <w:szCs w:val="24"/>
        </w:rPr>
        <w:t xml:space="preserve">.  </w:t>
      </w:r>
      <w:r w:rsidR="00440943" w:rsidRPr="00580BD2">
        <w:rPr>
          <w:rFonts w:cstheme="majorHAnsi"/>
          <w:sz w:val="24"/>
          <w:szCs w:val="24"/>
        </w:rPr>
        <w:t xml:space="preserve">Approximately 43.7% of those aged 0-5 are from </w:t>
      </w:r>
      <w:r w:rsidR="00303F31">
        <w:rPr>
          <w:rFonts w:cstheme="majorHAnsi"/>
          <w:sz w:val="24"/>
          <w:szCs w:val="24"/>
        </w:rPr>
        <w:t>BAME</w:t>
      </w:r>
      <w:r w:rsidR="00440943" w:rsidRPr="00580BD2">
        <w:rPr>
          <w:rFonts w:cstheme="majorHAnsi"/>
          <w:sz w:val="24"/>
          <w:szCs w:val="24"/>
        </w:rPr>
        <w:t xml:space="preserve"> groups. Both of these figures are </w:t>
      </w:r>
      <w:r w:rsidR="00A928E3" w:rsidRPr="00580BD2">
        <w:rPr>
          <w:rFonts w:cstheme="majorHAnsi"/>
          <w:sz w:val="24"/>
          <w:szCs w:val="24"/>
        </w:rPr>
        <w:t xml:space="preserve">substantially higher than the national </w:t>
      </w:r>
      <w:r w:rsidR="00303F31">
        <w:rPr>
          <w:rFonts w:cstheme="majorHAnsi"/>
          <w:sz w:val="24"/>
          <w:szCs w:val="24"/>
        </w:rPr>
        <w:t>BAME</w:t>
      </w:r>
      <w:r w:rsidR="00440943" w:rsidRPr="00580BD2">
        <w:rPr>
          <w:rFonts w:cstheme="majorHAnsi"/>
          <w:sz w:val="24"/>
          <w:szCs w:val="24"/>
        </w:rPr>
        <w:t xml:space="preserve"> </w:t>
      </w:r>
      <w:r w:rsidR="00A928E3" w:rsidRPr="00580BD2">
        <w:rPr>
          <w:rFonts w:cstheme="majorHAnsi"/>
          <w:sz w:val="24"/>
          <w:szCs w:val="24"/>
        </w:rPr>
        <w:t>population.</w:t>
      </w:r>
    </w:p>
    <w:p w14:paraId="459CE82D" w14:textId="55F5BF92" w:rsidR="004D423A" w:rsidRPr="00580BD2" w:rsidRDefault="00A928E3" w:rsidP="003A05C6">
      <w:pPr>
        <w:pStyle w:val="ListParagraph"/>
        <w:numPr>
          <w:ilvl w:val="0"/>
          <w:numId w:val="1"/>
        </w:numPr>
        <w:ind w:left="714" w:hanging="357"/>
        <w:contextualSpacing w:val="0"/>
        <w:rPr>
          <w:rFonts w:cstheme="majorHAnsi"/>
          <w:sz w:val="24"/>
          <w:szCs w:val="24"/>
        </w:rPr>
      </w:pPr>
      <w:r w:rsidRPr="00580BD2">
        <w:rPr>
          <w:rFonts w:cstheme="majorHAnsi"/>
          <w:sz w:val="24"/>
          <w:szCs w:val="24"/>
        </w:rPr>
        <w:t xml:space="preserve">4.3% of Sandwell’s population cannot speak English well or at all.  Nationally the rate is much lower at 1.7%.   </w:t>
      </w:r>
      <w:r w:rsidR="00962BFC" w:rsidRPr="00580BD2">
        <w:rPr>
          <w:rFonts w:cstheme="majorHAnsi"/>
          <w:sz w:val="24"/>
          <w:szCs w:val="24"/>
        </w:rPr>
        <w:t xml:space="preserve">0.8% of Sandwell’ population (aged over 3) cannot speak English at all.  </w:t>
      </w:r>
      <w:r w:rsidRPr="00580BD2">
        <w:rPr>
          <w:rFonts w:cstheme="majorHAnsi"/>
          <w:sz w:val="24"/>
          <w:szCs w:val="24"/>
        </w:rPr>
        <w:t>Within Sandwell wards, the rate varie</w:t>
      </w:r>
      <w:r w:rsidR="008435AF" w:rsidRPr="00580BD2">
        <w:rPr>
          <w:rFonts w:cstheme="majorHAnsi"/>
          <w:sz w:val="24"/>
          <w:szCs w:val="24"/>
        </w:rPr>
        <w:t>s</w:t>
      </w:r>
      <w:r w:rsidRPr="00580BD2">
        <w:rPr>
          <w:rFonts w:cstheme="majorHAnsi"/>
          <w:sz w:val="24"/>
          <w:szCs w:val="24"/>
        </w:rPr>
        <w:t xml:space="preserve"> with </w:t>
      </w:r>
      <w:r w:rsidR="008435AF" w:rsidRPr="00580BD2">
        <w:rPr>
          <w:rFonts w:cstheme="majorHAnsi"/>
          <w:sz w:val="24"/>
          <w:szCs w:val="24"/>
        </w:rPr>
        <w:t>2.7</w:t>
      </w:r>
      <w:r w:rsidRPr="00580BD2">
        <w:rPr>
          <w:rFonts w:cstheme="majorHAnsi"/>
          <w:sz w:val="24"/>
          <w:szCs w:val="24"/>
        </w:rPr>
        <w:t xml:space="preserve">% in St. Pauls, </w:t>
      </w:r>
      <w:r w:rsidR="008435AF" w:rsidRPr="00580BD2">
        <w:rPr>
          <w:rFonts w:cstheme="majorHAnsi"/>
          <w:sz w:val="24"/>
          <w:szCs w:val="24"/>
        </w:rPr>
        <w:t>2.5</w:t>
      </w:r>
      <w:r w:rsidR="004D423A" w:rsidRPr="00580BD2">
        <w:rPr>
          <w:rFonts w:cstheme="majorHAnsi"/>
          <w:sz w:val="24"/>
          <w:szCs w:val="24"/>
        </w:rPr>
        <w:t xml:space="preserve">% in </w:t>
      </w:r>
      <w:r w:rsidRPr="00580BD2">
        <w:rPr>
          <w:rFonts w:cstheme="majorHAnsi"/>
          <w:sz w:val="24"/>
          <w:szCs w:val="24"/>
        </w:rPr>
        <w:t xml:space="preserve">Soho and Victoria and </w:t>
      </w:r>
      <w:r w:rsidR="008435AF" w:rsidRPr="00580BD2">
        <w:rPr>
          <w:rFonts w:cstheme="majorHAnsi"/>
          <w:sz w:val="24"/>
          <w:szCs w:val="24"/>
        </w:rPr>
        <w:t>2.</w:t>
      </w:r>
      <w:r w:rsidR="004D423A" w:rsidRPr="00580BD2">
        <w:rPr>
          <w:rFonts w:cstheme="majorHAnsi"/>
          <w:sz w:val="24"/>
          <w:szCs w:val="24"/>
        </w:rPr>
        <w:t>1% in West Bromwich</w:t>
      </w:r>
      <w:r w:rsidR="008435AF" w:rsidRPr="00580BD2">
        <w:rPr>
          <w:rFonts w:cstheme="majorHAnsi"/>
          <w:sz w:val="24"/>
          <w:szCs w:val="24"/>
        </w:rPr>
        <w:t xml:space="preserve"> Central</w:t>
      </w:r>
      <w:r w:rsidRPr="00580BD2">
        <w:rPr>
          <w:rFonts w:cstheme="majorHAnsi"/>
          <w:sz w:val="24"/>
          <w:szCs w:val="24"/>
        </w:rPr>
        <w:t>.</w:t>
      </w:r>
    </w:p>
    <w:p w14:paraId="04E2B226" w14:textId="77777777" w:rsidR="00B06FEE" w:rsidRDefault="00845EEC" w:rsidP="003A05C6">
      <w:pPr>
        <w:pStyle w:val="ListParagraph"/>
        <w:numPr>
          <w:ilvl w:val="0"/>
          <w:numId w:val="1"/>
        </w:numPr>
        <w:ind w:left="714" w:hanging="357"/>
        <w:contextualSpacing w:val="0"/>
        <w:rPr>
          <w:rFonts w:cstheme="majorHAnsi"/>
          <w:sz w:val="24"/>
          <w:szCs w:val="24"/>
        </w:rPr>
      </w:pPr>
      <w:r w:rsidRPr="00580BD2">
        <w:rPr>
          <w:rFonts w:cstheme="majorHAnsi"/>
          <w:sz w:val="24"/>
          <w:szCs w:val="24"/>
        </w:rPr>
        <w:t xml:space="preserve">Over half of </w:t>
      </w:r>
      <w:r w:rsidR="00297EF9" w:rsidRPr="00580BD2">
        <w:rPr>
          <w:rFonts w:cstheme="majorHAnsi"/>
          <w:sz w:val="24"/>
          <w:szCs w:val="24"/>
        </w:rPr>
        <w:t>Smethwick</w:t>
      </w:r>
      <w:r w:rsidRPr="00580BD2">
        <w:rPr>
          <w:rFonts w:cstheme="majorHAnsi"/>
          <w:sz w:val="24"/>
          <w:szCs w:val="24"/>
        </w:rPr>
        <w:t xml:space="preserve">’s population is </w:t>
      </w:r>
      <w:r w:rsidR="008D7CB3" w:rsidRPr="00580BD2">
        <w:rPr>
          <w:rFonts w:cstheme="majorHAnsi"/>
          <w:sz w:val="24"/>
          <w:szCs w:val="24"/>
        </w:rPr>
        <w:t xml:space="preserve">from </w:t>
      </w:r>
      <w:r w:rsidR="00303F31">
        <w:rPr>
          <w:rFonts w:cstheme="majorHAnsi"/>
          <w:sz w:val="24"/>
          <w:szCs w:val="24"/>
        </w:rPr>
        <w:t>BAME</w:t>
      </w:r>
      <w:r w:rsidR="00297EF9" w:rsidRPr="00580BD2">
        <w:rPr>
          <w:rFonts w:cstheme="majorHAnsi"/>
          <w:sz w:val="24"/>
          <w:szCs w:val="24"/>
        </w:rPr>
        <w:t xml:space="preserve"> </w:t>
      </w:r>
      <w:r w:rsidR="008D7CB3" w:rsidRPr="00580BD2">
        <w:rPr>
          <w:rFonts w:cstheme="majorHAnsi"/>
          <w:sz w:val="24"/>
          <w:szCs w:val="24"/>
        </w:rPr>
        <w:t>groups</w:t>
      </w:r>
      <w:r w:rsidR="00297EF9" w:rsidRPr="00580BD2">
        <w:rPr>
          <w:rFonts w:cstheme="majorHAnsi"/>
          <w:sz w:val="24"/>
          <w:szCs w:val="24"/>
        </w:rPr>
        <w:t xml:space="preserve"> (54%), followed by West Bromwich (35.</w:t>
      </w:r>
      <w:r w:rsidRPr="00580BD2">
        <w:rPr>
          <w:rFonts w:cstheme="majorHAnsi"/>
          <w:sz w:val="24"/>
          <w:szCs w:val="24"/>
        </w:rPr>
        <w:t>5%)</w:t>
      </w:r>
      <w:r w:rsidR="004D423A" w:rsidRPr="00580BD2">
        <w:rPr>
          <w:rFonts w:cstheme="majorHAnsi"/>
          <w:sz w:val="24"/>
          <w:szCs w:val="24"/>
        </w:rPr>
        <w:t xml:space="preserve">.  </w:t>
      </w:r>
      <w:r w:rsidR="00483AEF" w:rsidRPr="00580BD2">
        <w:rPr>
          <w:rFonts w:cstheme="majorHAnsi"/>
          <w:sz w:val="24"/>
          <w:szCs w:val="24"/>
        </w:rPr>
        <w:t>For those aged 0-5, this rises to 69.5% for Smethwick and 50.2% in West Bromwich.</w:t>
      </w:r>
    </w:p>
    <w:p w14:paraId="16D3B8E6" w14:textId="4D63B34F" w:rsidR="004D423A" w:rsidRPr="00B06FEE" w:rsidRDefault="00845EEC" w:rsidP="003A05C6">
      <w:pPr>
        <w:pStyle w:val="ListParagraph"/>
        <w:numPr>
          <w:ilvl w:val="0"/>
          <w:numId w:val="1"/>
        </w:numPr>
        <w:ind w:left="714" w:hanging="357"/>
        <w:contextualSpacing w:val="0"/>
        <w:rPr>
          <w:rFonts w:cstheme="majorHAnsi"/>
          <w:sz w:val="24"/>
          <w:szCs w:val="24"/>
        </w:rPr>
      </w:pPr>
      <w:r w:rsidRPr="00B06FEE">
        <w:rPr>
          <w:rFonts w:cstheme="majorHAnsi"/>
          <w:sz w:val="24"/>
          <w:szCs w:val="24"/>
        </w:rPr>
        <w:t xml:space="preserve">Overall, </w:t>
      </w:r>
      <w:r w:rsidR="008D7CB3" w:rsidRPr="00B06FEE">
        <w:rPr>
          <w:rFonts w:cstheme="majorHAnsi"/>
          <w:sz w:val="24"/>
          <w:szCs w:val="24"/>
        </w:rPr>
        <w:t xml:space="preserve">Oldbury town has a lower proportion of its population from </w:t>
      </w:r>
      <w:r w:rsidR="00303F31" w:rsidRPr="00B06FEE">
        <w:rPr>
          <w:rFonts w:cstheme="majorHAnsi"/>
          <w:sz w:val="24"/>
          <w:szCs w:val="24"/>
        </w:rPr>
        <w:t>BAME</w:t>
      </w:r>
      <w:r w:rsidR="008D7CB3" w:rsidRPr="00B06FEE">
        <w:rPr>
          <w:rFonts w:cstheme="majorHAnsi"/>
          <w:sz w:val="24"/>
          <w:szCs w:val="24"/>
        </w:rPr>
        <w:t xml:space="preserve"> groups (28.1%), </w:t>
      </w:r>
      <w:r w:rsidRPr="00B06FEE">
        <w:rPr>
          <w:rFonts w:cstheme="majorHAnsi"/>
          <w:sz w:val="24"/>
          <w:szCs w:val="24"/>
        </w:rPr>
        <w:t xml:space="preserve">however populations are varied within the wards. </w:t>
      </w:r>
      <w:r w:rsidR="008D7CB3" w:rsidRPr="00B06FEE">
        <w:rPr>
          <w:rFonts w:cstheme="majorHAnsi"/>
          <w:sz w:val="24"/>
          <w:szCs w:val="24"/>
        </w:rPr>
        <w:t xml:space="preserve">Oldbury ward has almost </w:t>
      </w:r>
      <w:r w:rsidR="004D423A" w:rsidRPr="00B06FEE">
        <w:rPr>
          <w:rFonts w:cstheme="majorHAnsi"/>
          <w:sz w:val="24"/>
          <w:szCs w:val="24"/>
        </w:rPr>
        <w:t>43.8% of its population from</w:t>
      </w:r>
      <w:r w:rsidR="00F538BB" w:rsidRPr="00B06FEE">
        <w:rPr>
          <w:rFonts w:cstheme="majorHAnsi"/>
          <w:sz w:val="24"/>
          <w:szCs w:val="24"/>
        </w:rPr>
        <w:t xml:space="preserve"> </w:t>
      </w:r>
      <w:r w:rsidR="00303F31" w:rsidRPr="00B06FEE">
        <w:rPr>
          <w:rFonts w:cstheme="majorHAnsi"/>
          <w:sz w:val="24"/>
          <w:szCs w:val="24"/>
        </w:rPr>
        <w:t>BAME</w:t>
      </w:r>
      <w:r w:rsidR="004D423A" w:rsidRPr="00B06FEE">
        <w:rPr>
          <w:rFonts w:cstheme="majorHAnsi"/>
          <w:sz w:val="24"/>
          <w:szCs w:val="24"/>
        </w:rPr>
        <w:t xml:space="preserve"> groups</w:t>
      </w:r>
      <w:r w:rsidR="00F538BB" w:rsidRPr="00B06FEE">
        <w:rPr>
          <w:rFonts w:cstheme="majorHAnsi"/>
          <w:sz w:val="24"/>
          <w:szCs w:val="24"/>
        </w:rPr>
        <w:t>, whereas Langley has 22%, Bristnall 25.4%, Old Warley 21.2%.</w:t>
      </w:r>
      <w:r w:rsidR="00710C0C" w:rsidRPr="00B06FEE">
        <w:rPr>
          <w:rFonts w:cstheme="majorHAnsi"/>
          <w:sz w:val="24"/>
          <w:szCs w:val="24"/>
        </w:rPr>
        <w:t xml:space="preserve"> This pattern is mirrored for those aged 0-5.</w:t>
      </w:r>
      <w:r w:rsidR="00F538BB" w:rsidRPr="00B06FEE">
        <w:rPr>
          <w:rFonts w:cstheme="majorHAnsi"/>
          <w:sz w:val="24"/>
          <w:szCs w:val="24"/>
        </w:rPr>
        <w:t xml:space="preserve">  </w:t>
      </w:r>
    </w:p>
    <w:p w14:paraId="648E8A22" w14:textId="0908C8E2" w:rsidR="004D423A" w:rsidRPr="00580BD2" w:rsidRDefault="00845EEC" w:rsidP="00B13D4A">
      <w:pPr>
        <w:pStyle w:val="ListParagraph"/>
        <w:numPr>
          <w:ilvl w:val="0"/>
          <w:numId w:val="8"/>
        </w:numPr>
        <w:ind w:left="714" w:hanging="357"/>
        <w:contextualSpacing w:val="0"/>
        <w:rPr>
          <w:rFonts w:cstheme="majorHAnsi"/>
          <w:sz w:val="24"/>
          <w:szCs w:val="24"/>
        </w:rPr>
      </w:pPr>
      <w:r w:rsidRPr="00580BD2">
        <w:rPr>
          <w:rFonts w:cstheme="majorHAnsi"/>
          <w:sz w:val="24"/>
          <w:szCs w:val="24"/>
        </w:rPr>
        <w:t>Sandwell was ranked the 1</w:t>
      </w:r>
      <w:r w:rsidR="008435AF" w:rsidRPr="00580BD2">
        <w:rPr>
          <w:rFonts w:cstheme="majorHAnsi"/>
          <w:sz w:val="24"/>
          <w:szCs w:val="24"/>
        </w:rPr>
        <w:t>2</w:t>
      </w:r>
      <w:r w:rsidRPr="00580BD2">
        <w:rPr>
          <w:rFonts w:cstheme="majorHAnsi"/>
          <w:sz w:val="24"/>
          <w:szCs w:val="24"/>
        </w:rPr>
        <w:t>th most deprive</w:t>
      </w:r>
      <w:r w:rsidR="004D423A" w:rsidRPr="00580BD2">
        <w:rPr>
          <w:rFonts w:cstheme="majorHAnsi"/>
          <w:sz w:val="24"/>
          <w:szCs w:val="24"/>
        </w:rPr>
        <w:t>d authority in England in 201</w:t>
      </w:r>
      <w:r w:rsidR="008435AF" w:rsidRPr="00580BD2">
        <w:rPr>
          <w:rFonts w:cstheme="majorHAnsi"/>
          <w:sz w:val="24"/>
          <w:szCs w:val="24"/>
        </w:rPr>
        <w:t>9</w:t>
      </w:r>
      <w:r w:rsidR="004D423A" w:rsidRPr="00580BD2">
        <w:rPr>
          <w:rFonts w:cstheme="majorHAnsi"/>
          <w:sz w:val="24"/>
          <w:szCs w:val="24"/>
        </w:rPr>
        <w:t xml:space="preserve"> (</w:t>
      </w:r>
      <w:r w:rsidRPr="00580BD2">
        <w:rPr>
          <w:rFonts w:cstheme="majorHAnsi"/>
          <w:sz w:val="24"/>
          <w:szCs w:val="24"/>
        </w:rPr>
        <w:t>201</w:t>
      </w:r>
      <w:r w:rsidR="008435AF" w:rsidRPr="00580BD2">
        <w:rPr>
          <w:rFonts w:cstheme="majorHAnsi"/>
          <w:sz w:val="24"/>
          <w:szCs w:val="24"/>
        </w:rPr>
        <w:t>9</w:t>
      </w:r>
      <w:r w:rsidRPr="00580BD2">
        <w:rPr>
          <w:rFonts w:cstheme="majorHAnsi"/>
          <w:sz w:val="24"/>
          <w:szCs w:val="24"/>
        </w:rPr>
        <w:t xml:space="preserve"> IMD)</w:t>
      </w:r>
      <w:r w:rsidR="004D423A" w:rsidRPr="00580BD2">
        <w:rPr>
          <w:rFonts w:cstheme="majorHAnsi"/>
          <w:sz w:val="24"/>
          <w:szCs w:val="24"/>
        </w:rPr>
        <w:t>.</w:t>
      </w:r>
      <w:r w:rsidR="008435AF" w:rsidRPr="00580BD2">
        <w:rPr>
          <w:rFonts w:cstheme="majorHAnsi"/>
          <w:sz w:val="24"/>
          <w:szCs w:val="24"/>
        </w:rPr>
        <w:t xml:space="preserve"> All wards in Sandwell have scores within the worst 40% in England. Two wards (Princes End and Greets Green &amp; Lyng) are within the worst 10% nationally. </w:t>
      </w:r>
      <w:r w:rsidR="004D423A" w:rsidRPr="00580BD2">
        <w:rPr>
          <w:rFonts w:cstheme="majorHAnsi"/>
          <w:sz w:val="24"/>
          <w:szCs w:val="24"/>
        </w:rPr>
        <w:t xml:space="preserve">  </w:t>
      </w:r>
    </w:p>
    <w:p w14:paraId="194259A1" w14:textId="055766D3" w:rsidR="00B3562C" w:rsidRPr="00580BD2" w:rsidRDefault="00B3562C" w:rsidP="00B13D4A">
      <w:pPr>
        <w:pStyle w:val="ListParagraph"/>
        <w:numPr>
          <w:ilvl w:val="0"/>
          <w:numId w:val="8"/>
        </w:numPr>
        <w:ind w:left="714" w:hanging="357"/>
        <w:contextualSpacing w:val="0"/>
        <w:rPr>
          <w:rFonts w:cstheme="majorHAnsi"/>
          <w:sz w:val="24"/>
          <w:szCs w:val="24"/>
        </w:rPr>
      </w:pPr>
      <w:r w:rsidRPr="00580BD2">
        <w:rPr>
          <w:rFonts w:cstheme="majorHAnsi"/>
          <w:sz w:val="24"/>
          <w:szCs w:val="24"/>
        </w:rPr>
        <w:t>25</w:t>
      </w:r>
      <w:r w:rsidR="00DD104D" w:rsidRPr="00580BD2">
        <w:rPr>
          <w:rFonts w:cstheme="majorHAnsi"/>
          <w:sz w:val="24"/>
          <w:szCs w:val="24"/>
        </w:rPr>
        <w:t>.6</w:t>
      </w:r>
      <w:r w:rsidRPr="00580BD2">
        <w:rPr>
          <w:rFonts w:cstheme="majorHAnsi"/>
          <w:sz w:val="24"/>
          <w:szCs w:val="24"/>
        </w:rPr>
        <w:t xml:space="preserve">% of all children in Sandwell are living in </w:t>
      </w:r>
      <w:r w:rsidR="00DD104D" w:rsidRPr="00580BD2">
        <w:rPr>
          <w:rFonts w:cstheme="majorHAnsi"/>
          <w:sz w:val="24"/>
          <w:szCs w:val="24"/>
        </w:rPr>
        <w:t xml:space="preserve">low income families </w:t>
      </w:r>
      <w:r w:rsidRPr="00580BD2">
        <w:rPr>
          <w:rFonts w:cstheme="majorHAnsi"/>
          <w:sz w:val="24"/>
          <w:szCs w:val="24"/>
        </w:rPr>
        <w:t xml:space="preserve">compared to 17% across England </w:t>
      </w:r>
      <w:r w:rsidR="00DD104D" w:rsidRPr="00580BD2">
        <w:rPr>
          <w:rFonts w:cstheme="majorHAnsi"/>
          <w:sz w:val="24"/>
          <w:szCs w:val="24"/>
        </w:rPr>
        <w:t xml:space="preserve">and </w:t>
      </w:r>
      <w:r w:rsidR="00205385" w:rsidRPr="00580BD2">
        <w:rPr>
          <w:rFonts w:cstheme="majorHAnsi"/>
          <w:sz w:val="24"/>
          <w:szCs w:val="24"/>
        </w:rPr>
        <w:t>18</w:t>
      </w:r>
      <w:r w:rsidR="00C9421F" w:rsidRPr="00580BD2">
        <w:rPr>
          <w:rFonts w:cstheme="majorHAnsi"/>
          <w:sz w:val="24"/>
          <w:szCs w:val="24"/>
        </w:rPr>
        <w:t>,</w:t>
      </w:r>
      <w:r w:rsidR="00DD104D" w:rsidRPr="00580BD2">
        <w:rPr>
          <w:rFonts w:cstheme="majorHAnsi"/>
          <w:sz w:val="24"/>
          <w:szCs w:val="24"/>
        </w:rPr>
        <w:t>4</w:t>
      </w:r>
      <w:r w:rsidR="00205385" w:rsidRPr="00580BD2">
        <w:rPr>
          <w:rFonts w:cstheme="majorHAnsi"/>
          <w:sz w:val="24"/>
          <w:szCs w:val="24"/>
        </w:rPr>
        <w:t>9</w:t>
      </w:r>
      <w:r w:rsidR="00DD104D" w:rsidRPr="00580BD2">
        <w:rPr>
          <w:rFonts w:cstheme="majorHAnsi"/>
          <w:sz w:val="24"/>
          <w:szCs w:val="24"/>
        </w:rPr>
        <w:t xml:space="preserve">5 </w:t>
      </w:r>
      <w:r w:rsidR="00FA246A" w:rsidRPr="00580BD2">
        <w:rPr>
          <w:rFonts w:cstheme="majorHAnsi"/>
          <w:sz w:val="24"/>
          <w:szCs w:val="24"/>
        </w:rPr>
        <w:t>0-4-year</w:t>
      </w:r>
      <w:r w:rsidR="00DD104D" w:rsidRPr="00580BD2">
        <w:rPr>
          <w:rFonts w:cstheme="majorHAnsi"/>
          <w:sz w:val="24"/>
          <w:szCs w:val="24"/>
        </w:rPr>
        <w:t xml:space="preserve"> olds and </w:t>
      </w:r>
      <w:r w:rsidR="00205385" w:rsidRPr="00580BD2">
        <w:rPr>
          <w:rFonts w:cstheme="majorHAnsi"/>
          <w:sz w:val="24"/>
          <w:szCs w:val="24"/>
        </w:rPr>
        <w:t>21</w:t>
      </w:r>
      <w:r w:rsidR="00DD104D" w:rsidRPr="00580BD2">
        <w:rPr>
          <w:rFonts w:cstheme="majorHAnsi"/>
          <w:sz w:val="24"/>
          <w:szCs w:val="24"/>
        </w:rPr>
        <w:t>,</w:t>
      </w:r>
      <w:r w:rsidR="00205385" w:rsidRPr="00580BD2">
        <w:rPr>
          <w:rFonts w:cstheme="majorHAnsi"/>
          <w:sz w:val="24"/>
          <w:szCs w:val="24"/>
        </w:rPr>
        <w:t>370</w:t>
      </w:r>
      <w:r w:rsidR="009722F7" w:rsidRPr="00580BD2">
        <w:rPr>
          <w:rFonts w:cstheme="majorHAnsi"/>
          <w:sz w:val="24"/>
          <w:szCs w:val="24"/>
        </w:rPr>
        <w:t xml:space="preserve"> </w:t>
      </w:r>
      <w:r w:rsidR="00FA246A" w:rsidRPr="00580BD2">
        <w:rPr>
          <w:rFonts w:cstheme="majorHAnsi"/>
          <w:sz w:val="24"/>
          <w:szCs w:val="24"/>
        </w:rPr>
        <w:t>5-10-year</w:t>
      </w:r>
      <w:r w:rsidR="009722F7" w:rsidRPr="00580BD2">
        <w:rPr>
          <w:rFonts w:cstheme="majorHAnsi"/>
          <w:sz w:val="24"/>
          <w:szCs w:val="24"/>
        </w:rPr>
        <w:t xml:space="preserve"> olds live</w:t>
      </w:r>
      <w:r w:rsidR="00DD104D" w:rsidRPr="00580BD2">
        <w:rPr>
          <w:rFonts w:cstheme="majorHAnsi"/>
          <w:sz w:val="24"/>
          <w:szCs w:val="24"/>
        </w:rPr>
        <w:t xml:space="preserve"> in low income families</w:t>
      </w:r>
      <w:r w:rsidR="009722F7" w:rsidRPr="00580BD2">
        <w:rPr>
          <w:rFonts w:cstheme="majorHAnsi"/>
          <w:sz w:val="24"/>
          <w:szCs w:val="24"/>
        </w:rPr>
        <w:t xml:space="preserve"> in Sandwell (HMRC 2016 data)</w:t>
      </w:r>
      <w:r w:rsidR="004D423A" w:rsidRPr="00580BD2">
        <w:rPr>
          <w:rFonts w:cstheme="majorHAnsi"/>
          <w:sz w:val="24"/>
          <w:szCs w:val="24"/>
        </w:rPr>
        <w:t>.</w:t>
      </w:r>
    </w:p>
    <w:p w14:paraId="3CB8248C" w14:textId="76B140F7" w:rsidR="004D423A" w:rsidRPr="00580BD2" w:rsidRDefault="00795C55" w:rsidP="00B13D4A">
      <w:pPr>
        <w:pStyle w:val="ListParagraph"/>
        <w:numPr>
          <w:ilvl w:val="0"/>
          <w:numId w:val="8"/>
        </w:numPr>
        <w:ind w:left="714" w:hanging="357"/>
        <w:contextualSpacing w:val="0"/>
        <w:rPr>
          <w:rFonts w:cstheme="majorHAnsi"/>
          <w:sz w:val="24"/>
          <w:szCs w:val="24"/>
        </w:rPr>
      </w:pPr>
      <w:r w:rsidRPr="00580BD2">
        <w:rPr>
          <w:rFonts w:cstheme="majorHAnsi"/>
          <w:sz w:val="24"/>
          <w:szCs w:val="24"/>
        </w:rPr>
        <w:t xml:space="preserve">Princes End </w:t>
      </w:r>
      <w:r w:rsidR="004D423A" w:rsidRPr="00580BD2">
        <w:rPr>
          <w:rFonts w:cstheme="majorHAnsi"/>
          <w:sz w:val="24"/>
          <w:szCs w:val="24"/>
        </w:rPr>
        <w:t xml:space="preserve">has the highest proportion </w:t>
      </w:r>
      <w:r w:rsidRPr="00580BD2">
        <w:rPr>
          <w:rFonts w:cstheme="majorHAnsi"/>
          <w:sz w:val="24"/>
          <w:szCs w:val="24"/>
        </w:rPr>
        <w:t>(3</w:t>
      </w:r>
      <w:r w:rsidR="00205385" w:rsidRPr="00580BD2">
        <w:rPr>
          <w:rFonts w:cstheme="majorHAnsi"/>
          <w:sz w:val="24"/>
          <w:szCs w:val="24"/>
        </w:rPr>
        <w:t>5.3</w:t>
      </w:r>
      <w:r w:rsidRPr="00580BD2">
        <w:rPr>
          <w:rFonts w:cstheme="majorHAnsi"/>
          <w:sz w:val="24"/>
          <w:szCs w:val="24"/>
        </w:rPr>
        <w:t xml:space="preserve">%) </w:t>
      </w:r>
      <w:r w:rsidR="004D423A" w:rsidRPr="00580BD2">
        <w:rPr>
          <w:rFonts w:cstheme="majorHAnsi"/>
          <w:sz w:val="24"/>
          <w:szCs w:val="24"/>
        </w:rPr>
        <w:t>of 0-15</w:t>
      </w:r>
      <w:r w:rsidRPr="00580BD2">
        <w:rPr>
          <w:rFonts w:cstheme="majorHAnsi"/>
          <w:sz w:val="24"/>
          <w:szCs w:val="24"/>
        </w:rPr>
        <w:t xml:space="preserve"> year olds living in poverty, followed by Soho and Victoria (3</w:t>
      </w:r>
      <w:r w:rsidR="00205385" w:rsidRPr="00580BD2">
        <w:rPr>
          <w:rFonts w:cstheme="majorHAnsi"/>
          <w:sz w:val="24"/>
          <w:szCs w:val="24"/>
        </w:rPr>
        <w:t>2</w:t>
      </w:r>
      <w:r w:rsidRPr="00580BD2">
        <w:rPr>
          <w:rFonts w:cstheme="majorHAnsi"/>
          <w:sz w:val="24"/>
          <w:szCs w:val="24"/>
        </w:rPr>
        <w:t>.</w:t>
      </w:r>
      <w:r w:rsidR="00205385" w:rsidRPr="00580BD2">
        <w:rPr>
          <w:rFonts w:cstheme="majorHAnsi"/>
          <w:sz w:val="24"/>
          <w:szCs w:val="24"/>
        </w:rPr>
        <w:t>0%).</w:t>
      </w:r>
    </w:p>
    <w:p w14:paraId="17D62A05" w14:textId="4BBC25A8" w:rsidR="00A928E3" w:rsidRPr="00580BD2" w:rsidRDefault="00B3562C" w:rsidP="00B13D4A">
      <w:pPr>
        <w:pStyle w:val="ListParagraph"/>
        <w:numPr>
          <w:ilvl w:val="0"/>
          <w:numId w:val="8"/>
        </w:numPr>
        <w:ind w:left="714" w:hanging="357"/>
        <w:contextualSpacing w:val="0"/>
        <w:rPr>
          <w:rFonts w:cstheme="majorHAnsi"/>
          <w:sz w:val="24"/>
          <w:szCs w:val="24"/>
        </w:rPr>
      </w:pPr>
      <w:r w:rsidRPr="00580BD2">
        <w:rPr>
          <w:rFonts w:cstheme="majorHAnsi"/>
          <w:sz w:val="24"/>
          <w:szCs w:val="24"/>
        </w:rPr>
        <w:t xml:space="preserve">Life Expectancy </w:t>
      </w:r>
      <w:r w:rsidR="007C1FCE" w:rsidRPr="00580BD2">
        <w:rPr>
          <w:rFonts w:cstheme="majorHAnsi"/>
          <w:sz w:val="24"/>
          <w:szCs w:val="24"/>
        </w:rPr>
        <w:t>at birth in Sandwell was 77.1 Males (England 79.6) and 81.3 Females (England 83.1) (ONS 2015-7 Data)</w:t>
      </w:r>
    </w:p>
    <w:p w14:paraId="3646AD14" w14:textId="2176C333" w:rsidR="00B3562C" w:rsidRPr="00580BD2" w:rsidRDefault="00B3562C" w:rsidP="00580BD2">
      <w:pPr>
        <w:pStyle w:val="Heading1"/>
      </w:pPr>
      <w:r w:rsidRPr="00580BD2">
        <w:t>Pregnancy &amp; birth</w:t>
      </w:r>
    </w:p>
    <w:p w14:paraId="6414FD6C" w14:textId="36DD6B15" w:rsidR="00C26F74" w:rsidRPr="00580BD2" w:rsidRDefault="00C26F74" w:rsidP="004C5B8A">
      <w:pPr>
        <w:pStyle w:val="Heading2"/>
      </w:pPr>
      <w:r w:rsidRPr="00580BD2">
        <w:t>Key Points</w:t>
      </w:r>
    </w:p>
    <w:p w14:paraId="1CE7758A" w14:textId="1D29A705" w:rsidR="00C26F74" w:rsidRPr="00580BD2" w:rsidRDefault="00C26F74" w:rsidP="00B13D4A">
      <w:pPr>
        <w:pStyle w:val="ListParagraph"/>
        <w:numPr>
          <w:ilvl w:val="0"/>
          <w:numId w:val="10"/>
        </w:numPr>
        <w:spacing w:before="120" w:after="200" w:line="240" w:lineRule="auto"/>
        <w:ind w:left="714" w:hanging="357"/>
        <w:contextualSpacing w:val="0"/>
        <w:rPr>
          <w:rFonts w:cs="Arial"/>
          <w:sz w:val="24"/>
          <w:szCs w:val="24"/>
        </w:rPr>
      </w:pPr>
      <w:r w:rsidRPr="00580BD2">
        <w:rPr>
          <w:rFonts w:cs="Arial"/>
          <w:sz w:val="24"/>
          <w:szCs w:val="24"/>
        </w:rPr>
        <w:t>Estimated population of women of childbearing age (15-44 years) in Sandwell stood at 64,</w:t>
      </w:r>
      <w:r w:rsidR="00757EF5">
        <w:rPr>
          <w:rFonts w:cs="Arial"/>
          <w:sz w:val="24"/>
          <w:szCs w:val="24"/>
        </w:rPr>
        <w:t>245</w:t>
      </w:r>
      <w:r w:rsidRPr="00580BD2">
        <w:rPr>
          <w:rFonts w:cs="Arial"/>
          <w:sz w:val="24"/>
          <w:szCs w:val="24"/>
        </w:rPr>
        <w:t xml:space="preserve"> in 20</w:t>
      </w:r>
      <w:r w:rsidR="00757EF5">
        <w:rPr>
          <w:rFonts w:cs="Arial"/>
          <w:sz w:val="24"/>
          <w:szCs w:val="24"/>
        </w:rPr>
        <w:t>20</w:t>
      </w:r>
      <w:r w:rsidRPr="00580BD2">
        <w:rPr>
          <w:rFonts w:cs="Arial"/>
          <w:sz w:val="24"/>
          <w:szCs w:val="24"/>
        </w:rPr>
        <w:t>.</w:t>
      </w:r>
      <w:r w:rsidR="00757EF5">
        <w:rPr>
          <w:rFonts w:cs="Arial"/>
          <w:sz w:val="24"/>
          <w:szCs w:val="24"/>
        </w:rPr>
        <w:t xml:space="preserve"> </w:t>
      </w:r>
    </w:p>
    <w:p w14:paraId="7694EA8C" w14:textId="13975BE3" w:rsidR="00C26F74" w:rsidRDefault="00C26F74" w:rsidP="00B13D4A">
      <w:pPr>
        <w:pStyle w:val="ListParagraph"/>
        <w:numPr>
          <w:ilvl w:val="0"/>
          <w:numId w:val="10"/>
        </w:numPr>
        <w:spacing w:before="120" w:after="200" w:line="240" w:lineRule="auto"/>
        <w:ind w:left="714" w:hanging="357"/>
        <w:contextualSpacing w:val="0"/>
        <w:rPr>
          <w:rFonts w:cs="Arial"/>
          <w:sz w:val="24"/>
          <w:szCs w:val="24"/>
        </w:rPr>
      </w:pPr>
      <w:r w:rsidRPr="00580BD2">
        <w:rPr>
          <w:rFonts w:cs="Arial"/>
          <w:sz w:val="24"/>
          <w:szCs w:val="24"/>
        </w:rPr>
        <w:t xml:space="preserve">Sandwell had </w:t>
      </w:r>
      <w:r w:rsidR="00C42E55">
        <w:rPr>
          <w:rFonts w:cs="Arial"/>
          <w:sz w:val="24"/>
          <w:szCs w:val="24"/>
        </w:rPr>
        <w:t>10.3</w:t>
      </w:r>
      <w:r w:rsidRPr="00580BD2">
        <w:rPr>
          <w:rFonts w:cs="Arial"/>
          <w:sz w:val="24"/>
          <w:szCs w:val="24"/>
        </w:rPr>
        <w:t xml:space="preserve"> </w:t>
      </w:r>
      <w:r w:rsidR="00C42E55">
        <w:rPr>
          <w:rFonts w:cs="Arial"/>
          <w:sz w:val="24"/>
          <w:szCs w:val="24"/>
        </w:rPr>
        <w:t>live</w:t>
      </w:r>
      <w:r w:rsidRPr="00580BD2">
        <w:rPr>
          <w:rFonts w:cs="Arial"/>
          <w:sz w:val="24"/>
          <w:szCs w:val="24"/>
        </w:rPr>
        <w:t xml:space="preserve"> births per 1000 women aged 15-44 compared to </w:t>
      </w:r>
      <w:r w:rsidR="00C42E55">
        <w:rPr>
          <w:rFonts w:cs="Arial"/>
          <w:sz w:val="24"/>
          <w:szCs w:val="24"/>
        </w:rPr>
        <w:t>13.</w:t>
      </w:r>
      <w:r w:rsidR="00104A13">
        <w:rPr>
          <w:rFonts w:cs="Arial"/>
          <w:sz w:val="24"/>
          <w:szCs w:val="24"/>
        </w:rPr>
        <w:t>1 in</w:t>
      </w:r>
      <w:r w:rsidR="00C42E55">
        <w:rPr>
          <w:rFonts w:cs="Arial"/>
          <w:sz w:val="24"/>
          <w:szCs w:val="24"/>
        </w:rPr>
        <w:t xml:space="preserve"> </w:t>
      </w:r>
      <w:r w:rsidRPr="00580BD2">
        <w:rPr>
          <w:rFonts w:cs="Arial"/>
          <w:sz w:val="24"/>
          <w:szCs w:val="24"/>
        </w:rPr>
        <w:t xml:space="preserve">England in </w:t>
      </w:r>
      <w:r w:rsidR="00104A13">
        <w:rPr>
          <w:rFonts w:cs="Arial"/>
          <w:sz w:val="24"/>
          <w:szCs w:val="24"/>
        </w:rPr>
        <w:t>2020</w:t>
      </w:r>
      <w:r w:rsidR="002E5158">
        <w:rPr>
          <w:rFonts w:cs="Arial"/>
          <w:sz w:val="24"/>
          <w:szCs w:val="24"/>
        </w:rPr>
        <w:t>, but birth rates are declining in line with national trends</w:t>
      </w:r>
      <w:r w:rsidR="00D96EA2">
        <w:rPr>
          <w:rFonts w:cs="Arial"/>
          <w:sz w:val="24"/>
          <w:szCs w:val="24"/>
        </w:rPr>
        <w:t>.</w:t>
      </w:r>
    </w:p>
    <w:p w14:paraId="749393A8" w14:textId="15AC06FA" w:rsidR="002E5158" w:rsidRPr="002E5158" w:rsidRDefault="00EA4EF1" w:rsidP="00B13D4A">
      <w:pPr>
        <w:pStyle w:val="ListParagraph"/>
        <w:numPr>
          <w:ilvl w:val="0"/>
          <w:numId w:val="10"/>
        </w:numPr>
        <w:spacing w:before="120" w:after="200" w:line="240" w:lineRule="auto"/>
        <w:ind w:left="714" w:hanging="357"/>
        <w:contextualSpacing w:val="0"/>
      </w:pPr>
      <w:r w:rsidRPr="002E5158">
        <w:rPr>
          <w:rFonts w:eastAsia="Times New Roman" w:cs="Arial"/>
          <w:sz w:val="24"/>
          <w:szCs w:val="24"/>
          <w:lang w:eastAsia="en-GB"/>
        </w:rPr>
        <w:t xml:space="preserve">The highest proportion of live births in Sandwell between 2016 </w:t>
      </w:r>
      <w:r w:rsidR="00083269">
        <w:rPr>
          <w:rFonts w:eastAsia="Times New Roman" w:cs="Arial"/>
          <w:sz w:val="24"/>
          <w:szCs w:val="24"/>
          <w:lang w:eastAsia="en-GB"/>
        </w:rPr>
        <w:t>and 2020</w:t>
      </w:r>
      <w:r w:rsidRPr="002E5158">
        <w:rPr>
          <w:rFonts w:eastAsia="Times New Roman" w:cs="Arial"/>
          <w:sz w:val="24"/>
          <w:szCs w:val="24"/>
          <w:lang w:eastAsia="en-GB"/>
        </w:rPr>
        <w:t xml:space="preserve"> were among women aged 25-29 (</w:t>
      </w:r>
      <w:r w:rsidR="0037168B">
        <w:rPr>
          <w:rFonts w:eastAsia="Times New Roman" w:cs="Arial"/>
          <w:sz w:val="24"/>
          <w:szCs w:val="24"/>
          <w:lang w:eastAsia="en-GB"/>
        </w:rPr>
        <w:t>29</w:t>
      </w:r>
      <w:r w:rsidRPr="002E5158">
        <w:rPr>
          <w:rFonts w:eastAsia="Times New Roman" w:cs="Arial"/>
          <w:sz w:val="24"/>
          <w:szCs w:val="24"/>
          <w:lang w:eastAsia="en-GB"/>
        </w:rPr>
        <w:t xml:space="preserve">% in </w:t>
      </w:r>
      <w:r w:rsidR="0037168B">
        <w:rPr>
          <w:rFonts w:eastAsia="Times New Roman" w:cs="Arial"/>
          <w:sz w:val="24"/>
          <w:szCs w:val="24"/>
          <w:lang w:eastAsia="en-GB"/>
        </w:rPr>
        <w:t>2020</w:t>
      </w:r>
      <w:r w:rsidRPr="002E5158">
        <w:rPr>
          <w:rFonts w:eastAsia="Times New Roman" w:cs="Arial"/>
          <w:sz w:val="24"/>
          <w:szCs w:val="24"/>
          <w:lang w:eastAsia="en-GB"/>
        </w:rPr>
        <w:t>).</w:t>
      </w:r>
    </w:p>
    <w:p w14:paraId="02EA5784" w14:textId="1E29057E" w:rsidR="002E5158" w:rsidRDefault="002E5158" w:rsidP="00B13D4A">
      <w:pPr>
        <w:pStyle w:val="ListParagraph"/>
        <w:numPr>
          <w:ilvl w:val="0"/>
          <w:numId w:val="10"/>
        </w:numPr>
        <w:spacing w:before="120" w:after="200" w:line="240" w:lineRule="auto"/>
        <w:ind w:left="714" w:hanging="357"/>
        <w:contextualSpacing w:val="0"/>
      </w:pPr>
      <w:r w:rsidRPr="002E5158">
        <w:rPr>
          <w:rFonts w:eastAsia="Times New Roman" w:cs="Arial"/>
          <w:sz w:val="24"/>
          <w:szCs w:val="24"/>
          <w:lang w:eastAsia="en-GB"/>
        </w:rPr>
        <w:t xml:space="preserve">The proportion of live births to mothers aged 35 to 39 had </w:t>
      </w:r>
      <w:r w:rsidR="0068619F">
        <w:rPr>
          <w:rFonts w:eastAsia="Times New Roman" w:cs="Arial"/>
          <w:sz w:val="24"/>
          <w:szCs w:val="24"/>
          <w:lang w:eastAsia="en-GB"/>
        </w:rPr>
        <w:t>decreased</w:t>
      </w:r>
      <w:r w:rsidRPr="002E5158">
        <w:rPr>
          <w:rFonts w:eastAsia="Times New Roman" w:cs="Arial"/>
          <w:sz w:val="24"/>
          <w:szCs w:val="24"/>
          <w:lang w:eastAsia="en-GB"/>
        </w:rPr>
        <w:t xml:space="preserve"> </w:t>
      </w:r>
      <w:r>
        <w:rPr>
          <w:rFonts w:eastAsia="Times New Roman" w:cs="Arial"/>
          <w:sz w:val="24"/>
          <w:szCs w:val="24"/>
          <w:lang w:eastAsia="en-GB"/>
        </w:rPr>
        <w:t>from 2016</w:t>
      </w:r>
      <w:r w:rsidR="00914F5F">
        <w:rPr>
          <w:rFonts w:eastAsia="Times New Roman" w:cs="Arial"/>
          <w:sz w:val="24"/>
          <w:szCs w:val="24"/>
          <w:lang w:eastAsia="en-GB"/>
        </w:rPr>
        <w:t>-2020</w:t>
      </w:r>
      <w:r w:rsidRPr="002E5158">
        <w:rPr>
          <w:rFonts w:eastAsia="Times New Roman" w:cs="Arial"/>
          <w:sz w:val="24"/>
          <w:szCs w:val="24"/>
          <w:lang w:eastAsia="en-GB"/>
        </w:rPr>
        <w:t xml:space="preserve"> from 14.3% </w:t>
      </w:r>
      <w:r w:rsidR="0068619F" w:rsidRPr="002E5158">
        <w:rPr>
          <w:rFonts w:eastAsia="Times New Roman" w:cs="Arial"/>
          <w:sz w:val="24"/>
          <w:szCs w:val="24"/>
          <w:lang w:eastAsia="en-GB"/>
        </w:rPr>
        <w:t>of</w:t>
      </w:r>
      <w:r w:rsidRPr="002E5158">
        <w:rPr>
          <w:rFonts w:eastAsia="Times New Roman" w:cs="Arial"/>
          <w:sz w:val="24"/>
          <w:szCs w:val="24"/>
          <w:lang w:eastAsia="en-GB"/>
        </w:rPr>
        <w:t xml:space="preserve"> </w:t>
      </w:r>
      <w:r w:rsidR="0068619F">
        <w:rPr>
          <w:rFonts w:eastAsia="Times New Roman" w:cs="Arial"/>
          <w:sz w:val="24"/>
          <w:szCs w:val="24"/>
          <w:lang w:eastAsia="en-GB"/>
        </w:rPr>
        <w:t>l</w:t>
      </w:r>
      <w:r w:rsidRPr="002E5158">
        <w:rPr>
          <w:rFonts w:eastAsia="Times New Roman" w:cs="Arial"/>
          <w:sz w:val="24"/>
          <w:szCs w:val="24"/>
          <w:lang w:eastAsia="en-GB"/>
        </w:rPr>
        <w:t>ive bi</w:t>
      </w:r>
      <w:r w:rsidR="0068619F">
        <w:rPr>
          <w:rFonts w:eastAsia="Times New Roman" w:cs="Arial"/>
          <w:sz w:val="24"/>
          <w:szCs w:val="24"/>
          <w:lang w:eastAsia="en-GB"/>
        </w:rPr>
        <w:t xml:space="preserve">rths in </w:t>
      </w:r>
      <w:r w:rsidRPr="002E5158">
        <w:rPr>
          <w:rFonts w:eastAsia="Times New Roman" w:cs="Arial"/>
          <w:sz w:val="24"/>
          <w:szCs w:val="24"/>
          <w:lang w:eastAsia="en-GB"/>
        </w:rPr>
        <w:t>2016</w:t>
      </w:r>
      <w:r w:rsidR="0068619F">
        <w:rPr>
          <w:rFonts w:eastAsia="Times New Roman" w:cs="Arial"/>
          <w:sz w:val="24"/>
          <w:szCs w:val="24"/>
          <w:lang w:eastAsia="en-GB"/>
        </w:rPr>
        <w:t xml:space="preserve"> to 13.8% in 2020</w:t>
      </w:r>
      <w:r w:rsidRPr="002E5158">
        <w:rPr>
          <w:rFonts w:eastAsia="Times New Roman" w:cs="Arial"/>
          <w:sz w:val="24"/>
          <w:szCs w:val="24"/>
          <w:lang w:eastAsia="en-GB"/>
        </w:rPr>
        <w:t>. The live births in mothers older than 45 ha</w:t>
      </w:r>
      <w:r w:rsidR="0068619F">
        <w:rPr>
          <w:rFonts w:eastAsia="Times New Roman" w:cs="Arial"/>
          <w:sz w:val="24"/>
          <w:szCs w:val="24"/>
          <w:lang w:eastAsia="en-GB"/>
        </w:rPr>
        <w:t>s doubled</w:t>
      </w:r>
      <w:r w:rsidRPr="002E5158">
        <w:rPr>
          <w:rFonts w:eastAsia="Times New Roman" w:cs="Arial"/>
          <w:sz w:val="24"/>
          <w:szCs w:val="24"/>
          <w:lang w:eastAsia="en-GB"/>
        </w:rPr>
        <w:t xml:space="preserve"> </w:t>
      </w:r>
      <w:r w:rsidR="0068619F">
        <w:rPr>
          <w:rFonts w:eastAsia="Times New Roman" w:cs="Arial"/>
          <w:sz w:val="24"/>
          <w:szCs w:val="24"/>
          <w:lang w:eastAsia="en-GB"/>
        </w:rPr>
        <w:t>in the same time period</w:t>
      </w:r>
      <w:r w:rsidRPr="002E5158">
        <w:rPr>
          <w:rFonts w:eastAsia="Times New Roman" w:cs="Arial"/>
          <w:sz w:val="24"/>
          <w:szCs w:val="24"/>
          <w:lang w:eastAsia="en-GB"/>
        </w:rPr>
        <w:t>.</w:t>
      </w:r>
    </w:p>
    <w:p w14:paraId="62EFA33A" w14:textId="7955A03E" w:rsidR="002E5158" w:rsidRDefault="00613C28" w:rsidP="00B13D4A">
      <w:pPr>
        <w:pStyle w:val="ListParagraph"/>
        <w:numPr>
          <w:ilvl w:val="0"/>
          <w:numId w:val="10"/>
        </w:numPr>
        <w:spacing w:before="120" w:after="200" w:line="240" w:lineRule="auto"/>
        <w:ind w:left="714" w:hanging="357"/>
        <w:contextualSpacing w:val="0"/>
        <w:rPr>
          <w:rFonts w:cstheme="majorHAnsi"/>
          <w:sz w:val="24"/>
          <w:szCs w:val="24"/>
        </w:rPr>
      </w:pPr>
      <w:r>
        <w:rPr>
          <w:rFonts w:cstheme="majorHAnsi"/>
          <w:sz w:val="24"/>
          <w:szCs w:val="24"/>
        </w:rPr>
        <w:t xml:space="preserve">In terms of teenage pregnancy, in </w:t>
      </w:r>
      <w:r w:rsidR="00F50D06">
        <w:rPr>
          <w:rFonts w:cstheme="majorHAnsi"/>
          <w:sz w:val="24"/>
          <w:szCs w:val="24"/>
        </w:rPr>
        <w:t>2020/21</w:t>
      </w:r>
      <w:r>
        <w:rPr>
          <w:rFonts w:cstheme="majorHAnsi"/>
          <w:sz w:val="24"/>
          <w:szCs w:val="24"/>
        </w:rPr>
        <w:t>, the Sandwell rate of 0.8</w:t>
      </w:r>
      <w:r w:rsidRPr="00580BD2">
        <w:rPr>
          <w:rFonts w:cstheme="majorHAnsi"/>
          <w:sz w:val="24"/>
          <w:szCs w:val="24"/>
        </w:rPr>
        <w:t>%</w:t>
      </w:r>
      <w:r>
        <w:rPr>
          <w:rFonts w:cstheme="majorHAnsi"/>
          <w:sz w:val="24"/>
          <w:szCs w:val="24"/>
        </w:rPr>
        <w:t xml:space="preserve"> is above </w:t>
      </w:r>
      <w:r w:rsidRPr="00580BD2">
        <w:rPr>
          <w:rFonts w:cstheme="majorHAnsi"/>
          <w:sz w:val="24"/>
          <w:szCs w:val="24"/>
        </w:rPr>
        <w:t xml:space="preserve">England </w:t>
      </w:r>
      <w:r>
        <w:rPr>
          <w:rFonts w:cstheme="majorHAnsi"/>
          <w:sz w:val="24"/>
          <w:szCs w:val="24"/>
        </w:rPr>
        <w:t>(</w:t>
      </w:r>
      <w:r w:rsidRPr="00580BD2">
        <w:rPr>
          <w:rFonts w:cstheme="majorHAnsi"/>
          <w:sz w:val="24"/>
          <w:szCs w:val="24"/>
        </w:rPr>
        <w:t>0.</w:t>
      </w:r>
      <w:r>
        <w:rPr>
          <w:rFonts w:cstheme="majorHAnsi"/>
          <w:sz w:val="24"/>
          <w:szCs w:val="24"/>
        </w:rPr>
        <w:t>6%), but this is not statistically significant.</w:t>
      </w:r>
    </w:p>
    <w:p w14:paraId="356C8028" w14:textId="7B5E1244" w:rsidR="00D96EA2" w:rsidRPr="002E5158" w:rsidRDefault="00C26F74" w:rsidP="00B13D4A">
      <w:pPr>
        <w:pStyle w:val="ListParagraph"/>
        <w:numPr>
          <w:ilvl w:val="0"/>
          <w:numId w:val="10"/>
        </w:numPr>
        <w:spacing w:before="120" w:after="200" w:line="240" w:lineRule="auto"/>
        <w:ind w:left="714" w:hanging="357"/>
        <w:contextualSpacing w:val="0"/>
        <w:rPr>
          <w:rFonts w:cstheme="majorHAnsi"/>
          <w:sz w:val="24"/>
          <w:szCs w:val="24"/>
        </w:rPr>
      </w:pPr>
      <w:r w:rsidRPr="002E5158">
        <w:rPr>
          <w:rFonts w:cs="Arial"/>
          <w:sz w:val="24"/>
          <w:szCs w:val="24"/>
        </w:rPr>
        <w:t>Percentage of births to non-UK born mothers in Sandwell has nearly doubled in 17 years</w:t>
      </w:r>
      <w:r w:rsidR="00D96EA2" w:rsidRPr="002E5158">
        <w:rPr>
          <w:rFonts w:cs="Arial"/>
          <w:sz w:val="24"/>
          <w:szCs w:val="24"/>
        </w:rPr>
        <w:t>.</w:t>
      </w:r>
    </w:p>
    <w:p w14:paraId="7BE087E1" w14:textId="29852777" w:rsidR="0003116D" w:rsidRPr="0003116D" w:rsidRDefault="00D96EA2" w:rsidP="00B13D4A">
      <w:pPr>
        <w:pStyle w:val="ListParagraph"/>
        <w:numPr>
          <w:ilvl w:val="0"/>
          <w:numId w:val="10"/>
        </w:numPr>
        <w:spacing w:before="120" w:after="200" w:line="240" w:lineRule="auto"/>
        <w:contextualSpacing w:val="0"/>
        <w:rPr>
          <w:rFonts w:cstheme="majorHAnsi"/>
          <w:sz w:val="24"/>
          <w:szCs w:val="24"/>
          <w:u w:val="single"/>
        </w:rPr>
      </w:pPr>
      <w:r w:rsidRPr="0003116D">
        <w:rPr>
          <w:rFonts w:cstheme="majorHAnsi"/>
          <w:sz w:val="24"/>
          <w:szCs w:val="24"/>
        </w:rPr>
        <w:t xml:space="preserve">There is an increasing trend of deliveries to mothers from </w:t>
      </w:r>
      <w:r w:rsidR="00303F31">
        <w:rPr>
          <w:rFonts w:cstheme="majorHAnsi"/>
          <w:sz w:val="24"/>
          <w:szCs w:val="24"/>
        </w:rPr>
        <w:t>BAME</w:t>
      </w:r>
      <w:r w:rsidRPr="0003116D">
        <w:rPr>
          <w:rFonts w:cstheme="majorHAnsi"/>
          <w:sz w:val="24"/>
          <w:szCs w:val="24"/>
        </w:rPr>
        <w:t xml:space="preserve"> groups in Sandwell, and in </w:t>
      </w:r>
      <w:r w:rsidR="00AF2098" w:rsidRPr="00AF2098">
        <w:rPr>
          <w:rFonts w:cstheme="majorHAnsi"/>
          <w:sz w:val="24"/>
          <w:szCs w:val="24"/>
        </w:rPr>
        <w:t>2020/21 44</w:t>
      </w:r>
      <w:r w:rsidRPr="0003116D">
        <w:rPr>
          <w:rFonts w:cstheme="majorHAnsi"/>
          <w:sz w:val="24"/>
          <w:szCs w:val="24"/>
        </w:rPr>
        <w:t xml:space="preserve">.3% of births were to mothers from </w:t>
      </w:r>
      <w:r w:rsidR="00303F31">
        <w:rPr>
          <w:rFonts w:cstheme="majorHAnsi"/>
          <w:sz w:val="24"/>
          <w:szCs w:val="24"/>
        </w:rPr>
        <w:t>BAME</w:t>
      </w:r>
      <w:r w:rsidRPr="0003116D">
        <w:rPr>
          <w:rFonts w:cstheme="majorHAnsi"/>
          <w:sz w:val="24"/>
          <w:szCs w:val="24"/>
        </w:rPr>
        <w:t xml:space="preserve"> groups.</w:t>
      </w:r>
    </w:p>
    <w:p w14:paraId="272C9C45" w14:textId="631CD117" w:rsidR="00D96EA2" w:rsidRPr="00DA1C23" w:rsidRDefault="0003116D" w:rsidP="00B13D4A">
      <w:pPr>
        <w:pStyle w:val="ListParagraph"/>
        <w:numPr>
          <w:ilvl w:val="0"/>
          <w:numId w:val="10"/>
        </w:numPr>
        <w:spacing w:before="120" w:after="200" w:line="240" w:lineRule="auto"/>
        <w:contextualSpacing w:val="0"/>
        <w:rPr>
          <w:rFonts w:cs="Arial"/>
          <w:sz w:val="24"/>
          <w:szCs w:val="24"/>
        </w:rPr>
      </w:pPr>
      <w:r w:rsidRPr="00DA1C23">
        <w:rPr>
          <w:rFonts w:cstheme="majorHAnsi"/>
          <w:sz w:val="24"/>
          <w:szCs w:val="24"/>
        </w:rPr>
        <w:t xml:space="preserve">The proportion of babies born to term </w:t>
      </w:r>
      <w:r w:rsidR="00DA1C23" w:rsidRPr="00DA1C23">
        <w:rPr>
          <w:rFonts w:cstheme="majorHAnsi"/>
          <w:sz w:val="24"/>
          <w:szCs w:val="24"/>
        </w:rPr>
        <w:t xml:space="preserve">with a low birth weight in Sandwell (3.7% in </w:t>
      </w:r>
      <w:r w:rsidR="006F0F97">
        <w:rPr>
          <w:rFonts w:cstheme="majorHAnsi"/>
          <w:sz w:val="24"/>
          <w:szCs w:val="24"/>
        </w:rPr>
        <w:t>2020</w:t>
      </w:r>
      <w:r w:rsidR="00DA1C23" w:rsidRPr="00DA1C23">
        <w:rPr>
          <w:rFonts w:cstheme="majorHAnsi"/>
          <w:sz w:val="24"/>
          <w:szCs w:val="24"/>
        </w:rPr>
        <w:t>) remains higher than the England average</w:t>
      </w:r>
      <w:r w:rsidR="00DA1C23">
        <w:rPr>
          <w:rFonts w:cstheme="majorHAnsi"/>
          <w:sz w:val="24"/>
          <w:szCs w:val="24"/>
        </w:rPr>
        <w:t>.</w:t>
      </w:r>
    </w:p>
    <w:p w14:paraId="10BBE902" w14:textId="43F26C45" w:rsidR="0071474B" w:rsidRPr="009A1EFC" w:rsidRDefault="00C26F74" w:rsidP="009A1EFC">
      <w:pPr>
        <w:pStyle w:val="ListParagraph"/>
        <w:numPr>
          <w:ilvl w:val="0"/>
          <w:numId w:val="5"/>
        </w:numPr>
        <w:spacing w:before="240"/>
        <w:rPr>
          <w:rFonts w:cstheme="majorHAnsi"/>
          <w:sz w:val="24"/>
          <w:szCs w:val="24"/>
          <w:u w:val="single"/>
        </w:rPr>
      </w:pPr>
      <w:r w:rsidRPr="009A1EFC">
        <w:rPr>
          <w:rFonts w:cs="Arial"/>
          <w:sz w:val="24"/>
          <w:szCs w:val="24"/>
        </w:rPr>
        <w:t xml:space="preserve">The </w:t>
      </w:r>
      <w:r w:rsidR="00DA1C23" w:rsidRPr="009A1EFC">
        <w:rPr>
          <w:rFonts w:cs="Arial"/>
          <w:sz w:val="24"/>
          <w:szCs w:val="24"/>
        </w:rPr>
        <w:t>201</w:t>
      </w:r>
      <w:r w:rsidR="0071474B" w:rsidRPr="009A1EFC">
        <w:rPr>
          <w:rFonts w:cs="Arial"/>
          <w:sz w:val="24"/>
          <w:szCs w:val="24"/>
        </w:rPr>
        <w:t>8</w:t>
      </w:r>
      <w:r w:rsidR="00DA1C23" w:rsidRPr="009A1EFC">
        <w:rPr>
          <w:rFonts w:cs="Arial"/>
          <w:sz w:val="24"/>
          <w:szCs w:val="24"/>
        </w:rPr>
        <w:t>-</w:t>
      </w:r>
      <w:r w:rsidRPr="009A1EFC">
        <w:rPr>
          <w:rFonts w:cs="Arial"/>
          <w:sz w:val="24"/>
          <w:szCs w:val="24"/>
        </w:rPr>
        <w:t>20</w:t>
      </w:r>
      <w:r w:rsidR="0071474B" w:rsidRPr="009A1EFC">
        <w:rPr>
          <w:rFonts w:cs="Arial"/>
          <w:sz w:val="24"/>
          <w:szCs w:val="24"/>
        </w:rPr>
        <w:t>20</w:t>
      </w:r>
      <w:r w:rsidRPr="009A1EFC">
        <w:rPr>
          <w:rFonts w:cs="Arial"/>
          <w:sz w:val="24"/>
          <w:szCs w:val="24"/>
        </w:rPr>
        <w:t xml:space="preserve"> rate of still births per 1,000 live births and still births in Sandwell</w:t>
      </w:r>
      <w:r w:rsidR="009A1EFC" w:rsidRPr="009A1EFC">
        <w:rPr>
          <w:rFonts w:cs="Arial"/>
          <w:sz w:val="24"/>
          <w:szCs w:val="24"/>
        </w:rPr>
        <w:t xml:space="preserve"> (5.3 per 1000)</w:t>
      </w:r>
      <w:r w:rsidRPr="009A1EFC">
        <w:rPr>
          <w:rFonts w:cs="Arial"/>
          <w:sz w:val="24"/>
          <w:szCs w:val="24"/>
        </w:rPr>
        <w:t xml:space="preserve"> is higher than the average for England and West Midlands</w:t>
      </w:r>
      <w:r w:rsidR="009A1EFC" w:rsidRPr="009A1EFC">
        <w:rPr>
          <w:rFonts w:cs="Arial"/>
          <w:sz w:val="24"/>
          <w:szCs w:val="24"/>
        </w:rPr>
        <w:t xml:space="preserve">, and is </w:t>
      </w:r>
      <w:r w:rsidR="009A1EFC">
        <w:rPr>
          <w:rFonts w:cs="Arial"/>
          <w:sz w:val="24"/>
          <w:szCs w:val="24"/>
        </w:rPr>
        <w:t xml:space="preserve">the </w:t>
      </w:r>
      <w:r w:rsidR="0071474B" w:rsidRPr="009A1EFC">
        <w:rPr>
          <w:rFonts w:cstheme="majorHAnsi"/>
          <w:sz w:val="24"/>
          <w:szCs w:val="24"/>
        </w:rPr>
        <w:t>2</w:t>
      </w:r>
      <w:r w:rsidR="0071474B" w:rsidRPr="009A1EFC">
        <w:rPr>
          <w:rFonts w:cstheme="majorHAnsi"/>
          <w:sz w:val="24"/>
          <w:szCs w:val="24"/>
          <w:vertAlign w:val="superscript"/>
        </w:rPr>
        <w:t>nd</w:t>
      </w:r>
      <w:r w:rsidR="0071474B" w:rsidRPr="009A1EFC">
        <w:rPr>
          <w:rFonts w:cstheme="majorHAnsi"/>
          <w:sz w:val="24"/>
          <w:szCs w:val="24"/>
        </w:rPr>
        <w:t xml:space="preserve"> highest rate in West Midlands following Birmingham (5.6)</w:t>
      </w:r>
    </w:p>
    <w:p w14:paraId="69525687" w14:textId="49F37D12" w:rsidR="00DA1C23" w:rsidRPr="00580BD2" w:rsidRDefault="00DA1C23" w:rsidP="009A1EFC">
      <w:pPr>
        <w:pStyle w:val="ListParagraph"/>
        <w:numPr>
          <w:ilvl w:val="0"/>
          <w:numId w:val="10"/>
        </w:numPr>
        <w:spacing w:before="240" w:line="240" w:lineRule="auto"/>
        <w:ind w:left="714" w:hanging="357"/>
        <w:contextualSpacing w:val="0"/>
        <w:rPr>
          <w:rFonts w:cs="Arial"/>
          <w:sz w:val="24"/>
          <w:szCs w:val="24"/>
        </w:rPr>
      </w:pPr>
      <w:r w:rsidRPr="00580BD2">
        <w:rPr>
          <w:rFonts w:cs="Arial"/>
          <w:sz w:val="24"/>
          <w:szCs w:val="24"/>
        </w:rPr>
        <w:t xml:space="preserve">In </w:t>
      </w:r>
      <w:r w:rsidR="00446862" w:rsidRPr="00580BD2">
        <w:rPr>
          <w:rFonts w:cs="Arial"/>
          <w:sz w:val="24"/>
          <w:szCs w:val="24"/>
        </w:rPr>
        <w:t>20</w:t>
      </w:r>
      <w:r w:rsidR="00446862">
        <w:rPr>
          <w:rFonts w:cs="Arial"/>
          <w:sz w:val="24"/>
          <w:szCs w:val="24"/>
        </w:rPr>
        <w:t>20/21</w:t>
      </w:r>
      <w:r w:rsidRPr="00580BD2">
        <w:rPr>
          <w:rFonts w:cs="Arial"/>
          <w:sz w:val="24"/>
          <w:szCs w:val="24"/>
        </w:rPr>
        <w:t xml:space="preserve"> approximately </w:t>
      </w:r>
      <w:r w:rsidR="00446862">
        <w:rPr>
          <w:rFonts w:cs="Arial"/>
          <w:sz w:val="24"/>
          <w:szCs w:val="24"/>
        </w:rPr>
        <w:t>9.3</w:t>
      </w:r>
      <w:r w:rsidRPr="00580BD2">
        <w:rPr>
          <w:rFonts w:cs="Arial"/>
          <w:sz w:val="24"/>
          <w:szCs w:val="24"/>
        </w:rPr>
        <w:t>% of local pregnant women in Sandwell smoked at time of delivery</w:t>
      </w:r>
      <w:r w:rsidR="00446862" w:rsidRPr="00580BD2">
        <w:rPr>
          <w:rFonts w:cs="Arial"/>
          <w:sz w:val="24"/>
          <w:szCs w:val="24"/>
        </w:rPr>
        <w:t>. This is</w:t>
      </w:r>
      <w:r w:rsidRPr="00580BD2">
        <w:rPr>
          <w:rFonts w:cs="Arial"/>
          <w:sz w:val="24"/>
          <w:szCs w:val="24"/>
        </w:rPr>
        <w:t xml:space="preserve"> a significant decrease since 2011 (15.8%).</w:t>
      </w:r>
      <w:r w:rsidR="00502AA4">
        <w:rPr>
          <w:rFonts w:cs="Arial"/>
          <w:sz w:val="24"/>
          <w:szCs w:val="24"/>
        </w:rPr>
        <w:t xml:space="preserve"> However, this data may not be accurate – not all women in 20</w:t>
      </w:r>
      <w:r w:rsidR="00446862">
        <w:rPr>
          <w:rFonts w:cs="Arial"/>
          <w:sz w:val="24"/>
          <w:szCs w:val="24"/>
        </w:rPr>
        <w:t>20</w:t>
      </w:r>
      <w:r w:rsidR="00502AA4">
        <w:rPr>
          <w:rFonts w:cs="Arial"/>
          <w:sz w:val="24"/>
          <w:szCs w:val="24"/>
        </w:rPr>
        <w:t>/</w:t>
      </w:r>
      <w:r w:rsidR="00446862">
        <w:rPr>
          <w:rFonts w:cs="Arial"/>
          <w:sz w:val="24"/>
          <w:szCs w:val="24"/>
        </w:rPr>
        <w:t>2</w:t>
      </w:r>
      <w:r w:rsidR="00502AA4">
        <w:rPr>
          <w:rFonts w:cs="Arial"/>
          <w:sz w:val="24"/>
          <w:szCs w:val="24"/>
        </w:rPr>
        <w:t>1 would have been tested for CO levels, and around 40% of women give birth outside Sandwell. It is known however that smoking is an issue</w:t>
      </w:r>
      <w:r w:rsidR="00521595">
        <w:rPr>
          <w:rFonts w:cs="Arial"/>
          <w:sz w:val="24"/>
          <w:szCs w:val="24"/>
        </w:rPr>
        <w:t xml:space="preserve"> </w:t>
      </w:r>
      <w:r w:rsidR="00EC0965">
        <w:rPr>
          <w:rFonts w:cs="Arial"/>
          <w:sz w:val="24"/>
          <w:szCs w:val="24"/>
        </w:rPr>
        <w:t xml:space="preserve">in Sandwell </w:t>
      </w:r>
      <w:r w:rsidR="00521595">
        <w:rPr>
          <w:rFonts w:cs="Arial"/>
          <w:sz w:val="24"/>
          <w:szCs w:val="24"/>
        </w:rPr>
        <w:t>and more accurate processes have been put in place to capture data.</w:t>
      </w:r>
      <w:r w:rsidR="00456698">
        <w:rPr>
          <w:rFonts w:cs="Arial"/>
          <w:sz w:val="24"/>
          <w:szCs w:val="24"/>
        </w:rPr>
        <w:t xml:space="preserve"> </w:t>
      </w:r>
    </w:p>
    <w:p w14:paraId="21041523" w14:textId="77777777" w:rsidR="00C26F74" w:rsidRPr="00580BD2" w:rsidRDefault="00C26F74" w:rsidP="00C26F74">
      <w:pPr>
        <w:pStyle w:val="ListParagraph"/>
        <w:spacing w:before="120" w:after="200" w:line="240" w:lineRule="auto"/>
        <w:ind w:left="714"/>
        <w:contextualSpacing w:val="0"/>
        <w:rPr>
          <w:sz w:val="24"/>
          <w:szCs w:val="24"/>
        </w:rPr>
      </w:pPr>
    </w:p>
    <w:p w14:paraId="6F780E75" w14:textId="77777777" w:rsidR="008F3750" w:rsidRPr="00580BD2" w:rsidRDefault="008F3750">
      <w:pPr>
        <w:spacing w:after="160" w:line="259" w:lineRule="auto"/>
        <w:rPr>
          <w:rFonts w:eastAsiaTheme="majorEastAsia" w:cstheme="majorBidi"/>
          <w:sz w:val="24"/>
          <w:szCs w:val="24"/>
        </w:rPr>
      </w:pPr>
      <w:r w:rsidRPr="00580BD2">
        <w:rPr>
          <w:sz w:val="24"/>
          <w:szCs w:val="24"/>
        </w:rPr>
        <w:br w:type="page"/>
      </w:r>
    </w:p>
    <w:p w14:paraId="506AA18B" w14:textId="69C77304" w:rsidR="00B3562C" w:rsidRPr="00580BD2" w:rsidRDefault="00B3562C" w:rsidP="005B1F6D">
      <w:pPr>
        <w:pStyle w:val="Heading2"/>
      </w:pPr>
      <w:r w:rsidRPr="00580BD2">
        <w:t xml:space="preserve">General </w:t>
      </w:r>
      <w:r w:rsidR="008F3750" w:rsidRPr="00580BD2">
        <w:t>f</w:t>
      </w:r>
      <w:r w:rsidRPr="00580BD2">
        <w:t xml:space="preserve">ertility </w:t>
      </w:r>
      <w:r w:rsidR="008F3750" w:rsidRPr="00580BD2">
        <w:t>r</w:t>
      </w:r>
      <w:r w:rsidRPr="00580BD2">
        <w:t>ate (GFR)</w:t>
      </w:r>
    </w:p>
    <w:p w14:paraId="7573E93C" w14:textId="7122317B" w:rsidR="00B3562C" w:rsidRPr="00580BD2" w:rsidRDefault="00B3562C" w:rsidP="008F3750">
      <w:pPr>
        <w:rPr>
          <w:rFonts w:cstheme="majorHAnsi"/>
          <w:color w:val="333333"/>
          <w:sz w:val="24"/>
          <w:szCs w:val="24"/>
          <w:shd w:val="clear" w:color="auto" w:fill="FFFFFF"/>
        </w:rPr>
      </w:pPr>
      <w:r w:rsidRPr="00580BD2">
        <w:rPr>
          <w:rFonts w:cstheme="majorHAnsi"/>
          <w:color w:val="333333"/>
          <w:sz w:val="24"/>
          <w:szCs w:val="24"/>
          <w:shd w:val="clear" w:color="auto" w:fill="FFFFFF"/>
        </w:rPr>
        <w:t>Fertility rates are closely tied to growth rates for a local area and can be an indicator of future population growth or decline in an area</w:t>
      </w:r>
      <w:r w:rsidR="008F3750" w:rsidRPr="00580BD2">
        <w:rPr>
          <w:rFonts w:cstheme="majorHAnsi"/>
          <w:color w:val="333333"/>
          <w:sz w:val="24"/>
          <w:szCs w:val="24"/>
          <w:shd w:val="clear" w:color="auto" w:fill="FFFFFF"/>
        </w:rPr>
        <w:t>.</w:t>
      </w:r>
    </w:p>
    <w:p w14:paraId="7AC79150" w14:textId="0D71EB11" w:rsidR="00B3562C" w:rsidRPr="00580BD2" w:rsidRDefault="004478E9" w:rsidP="00B3562C">
      <w:pPr>
        <w:pStyle w:val="ListParagraph"/>
        <w:numPr>
          <w:ilvl w:val="0"/>
          <w:numId w:val="2"/>
        </w:numPr>
        <w:rPr>
          <w:rFonts w:cstheme="majorHAnsi"/>
          <w:color w:val="333333"/>
          <w:sz w:val="24"/>
          <w:szCs w:val="24"/>
          <w:shd w:val="clear" w:color="auto" w:fill="FFFFFF"/>
        </w:rPr>
      </w:pPr>
      <w:r>
        <w:rPr>
          <w:rFonts w:cstheme="majorHAnsi"/>
          <w:color w:val="333333"/>
          <w:sz w:val="24"/>
          <w:szCs w:val="24"/>
          <w:shd w:val="clear" w:color="auto" w:fill="FFFFFF"/>
        </w:rPr>
        <w:t xml:space="preserve">In </w:t>
      </w:r>
      <w:r w:rsidR="00456698">
        <w:rPr>
          <w:rFonts w:cstheme="majorHAnsi"/>
          <w:color w:val="333333"/>
          <w:sz w:val="24"/>
          <w:szCs w:val="24"/>
          <w:shd w:val="clear" w:color="auto" w:fill="FFFFFF"/>
        </w:rPr>
        <w:t>2020</w:t>
      </w:r>
      <w:r>
        <w:rPr>
          <w:rFonts w:cstheme="majorHAnsi"/>
          <w:color w:val="333333"/>
          <w:sz w:val="24"/>
          <w:szCs w:val="24"/>
          <w:shd w:val="clear" w:color="auto" w:fill="FFFFFF"/>
        </w:rPr>
        <w:t xml:space="preserve">, </w:t>
      </w:r>
      <w:r w:rsidR="00B3562C" w:rsidRPr="00580BD2">
        <w:rPr>
          <w:rFonts w:cstheme="majorHAnsi"/>
          <w:color w:val="333333"/>
          <w:sz w:val="24"/>
          <w:szCs w:val="24"/>
          <w:shd w:val="clear" w:color="auto" w:fill="FFFFFF"/>
        </w:rPr>
        <w:t xml:space="preserve">Sandwell’s GFR is </w:t>
      </w:r>
      <w:r w:rsidR="009C2E06">
        <w:rPr>
          <w:rFonts w:cstheme="majorHAnsi"/>
          <w:color w:val="333333"/>
          <w:sz w:val="24"/>
          <w:szCs w:val="24"/>
          <w:shd w:val="clear" w:color="auto" w:fill="FFFFFF"/>
        </w:rPr>
        <w:t>6</w:t>
      </w:r>
      <w:r w:rsidR="00456698">
        <w:rPr>
          <w:rFonts w:cstheme="majorHAnsi"/>
          <w:color w:val="333333"/>
          <w:sz w:val="24"/>
          <w:szCs w:val="24"/>
          <w:shd w:val="clear" w:color="auto" w:fill="FFFFFF"/>
        </w:rPr>
        <w:t>7</w:t>
      </w:r>
      <w:r w:rsidR="00B3562C" w:rsidRPr="00580BD2">
        <w:rPr>
          <w:rFonts w:cstheme="majorHAnsi"/>
          <w:color w:val="333333"/>
          <w:sz w:val="24"/>
          <w:szCs w:val="24"/>
          <w:shd w:val="clear" w:color="auto" w:fill="FFFFFF"/>
        </w:rPr>
        <w:t>.</w:t>
      </w:r>
      <w:r>
        <w:rPr>
          <w:rFonts w:cstheme="majorHAnsi"/>
          <w:color w:val="333333"/>
          <w:sz w:val="24"/>
          <w:szCs w:val="24"/>
          <w:shd w:val="clear" w:color="auto" w:fill="FFFFFF"/>
        </w:rPr>
        <w:t>2</w:t>
      </w:r>
      <w:r w:rsidR="00B3562C" w:rsidRPr="00580BD2">
        <w:rPr>
          <w:rFonts w:cstheme="majorHAnsi"/>
          <w:color w:val="333333"/>
          <w:sz w:val="24"/>
          <w:szCs w:val="24"/>
          <w:shd w:val="clear" w:color="auto" w:fill="FFFFFF"/>
        </w:rPr>
        <w:t xml:space="preserve"> per 1000 females aged 15-44.  </w:t>
      </w:r>
    </w:p>
    <w:p w14:paraId="551EA744" w14:textId="07ACECCE" w:rsidR="00B3562C" w:rsidRPr="00580BD2" w:rsidRDefault="00B3562C" w:rsidP="00B3562C">
      <w:pPr>
        <w:pStyle w:val="ListParagraph"/>
        <w:numPr>
          <w:ilvl w:val="0"/>
          <w:numId w:val="2"/>
        </w:numPr>
        <w:rPr>
          <w:rFonts w:cstheme="majorHAnsi"/>
          <w:color w:val="333333"/>
          <w:sz w:val="24"/>
          <w:szCs w:val="24"/>
          <w:shd w:val="clear" w:color="auto" w:fill="FFFFFF"/>
        </w:rPr>
      </w:pPr>
      <w:r w:rsidRPr="00580BD2">
        <w:rPr>
          <w:rFonts w:cstheme="majorHAnsi"/>
          <w:color w:val="333333"/>
          <w:sz w:val="24"/>
          <w:szCs w:val="24"/>
          <w:shd w:val="clear" w:color="auto" w:fill="FFFFFF"/>
        </w:rPr>
        <w:t xml:space="preserve">This is a higher rate than England at </w:t>
      </w:r>
      <w:r w:rsidR="009C2E06">
        <w:rPr>
          <w:rFonts w:cstheme="majorHAnsi"/>
          <w:color w:val="333333"/>
          <w:sz w:val="24"/>
          <w:szCs w:val="24"/>
          <w:shd w:val="clear" w:color="auto" w:fill="FFFFFF"/>
        </w:rPr>
        <w:t>55</w:t>
      </w:r>
      <w:r w:rsidR="004478E9">
        <w:rPr>
          <w:rFonts w:cstheme="majorHAnsi"/>
          <w:color w:val="333333"/>
          <w:sz w:val="24"/>
          <w:szCs w:val="24"/>
          <w:shd w:val="clear" w:color="auto" w:fill="FFFFFF"/>
        </w:rPr>
        <w:t>.</w:t>
      </w:r>
      <w:r w:rsidR="009C2E06">
        <w:rPr>
          <w:rFonts w:cstheme="majorHAnsi"/>
          <w:color w:val="333333"/>
          <w:sz w:val="24"/>
          <w:szCs w:val="24"/>
          <w:shd w:val="clear" w:color="auto" w:fill="FFFFFF"/>
        </w:rPr>
        <w:t>3</w:t>
      </w:r>
      <w:r w:rsidR="004478E9">
        <w:rPr>
          <w:rFonts w:cstheme="majorHAnsi"/>
          <w:color w:val="333333"/>
          <w:sz w:val="24"/>
          <w:szCs w:val="24"/>
          <w:shd w:val="clear" w:color="auto" w:fill="FFFFFF"/>
        </w:rPr>
        <w:t xml:space="preserve"> </w:t>
      </w:r>
      <w:r w:rsidRPr="00580BD2">
        <w:rPr>
          <w:rFonts w:cstheme="majorHAnsi"/>
          <w:color w:val="333333"/>
          <w:sz w:val="24"/>
          <w:szCs w:val="24"/>
          <w:shd w:val="clear" w:color="auto" w:fill="FFFFFF"/>
        </w:rPr>
        <w:t xml:space="preserve">and West Midlands at </w:t>
      </w:r>
      <w:r w:rsidR="009C2E06">
        <w:rPr>
          <w:rFonts w:cstheme="majorHAnsi"/>
          <w:color w:val="333333"/>
          <w:sz w:val="24"/>
          <w:szCs w:val="24"/>
          <w:shd w:val="clear" w:color="auto" w:fill="FFFFFF"/>
        </w:rPr>
        <w:t>57.3</w:t>
      </w:r>
      <w:r w:rsidR="00844483">
        <w:rPr>
          <w:rFonts w:cstheme="majorHAnsi"/>
          <w:color w:val="333333"/>
          <w:sz w:val="24"/>
          <w:szCs w:val="24"/>
          <w:shd w:val="clear" w:color="auto" w:fill="FFFFFF"/>
        </w:rPr>
        <w:t>.</w:t>
      </w:r>
    </w:p>
    <w:p w14:paraId="1403C9A0" w14:textId="07378004" w:rsidR="00B3562C" w:rsidRPr="00580BD2" w:rsidRDefault="00B3562C" w:rsidP="00B3562C">
      <w:pPr>
        <w:pStyle w:val="ListParagraph"/>
        <w:numPr>
          <w:ilvl w:val="0"/>
          <w:numId w:val="2"/>
        </w:numPr>
        <w:rPr>
          <w:rFonts w:cstheme="majorHAnsi"/>
          <w:color w:val="333333"/>
          <w:sz w:val="24"/>
          <w:szCs w:val="24"/>
          <w:shd w:val="clear" w:color="auto" w:fill="FFFFFF"/>
        </w:rPr>
      </w:pPr>
      <w:r w:rsidRPr="00580BD2">
        <w:rPr>
          <w:rFonts w:cstheme="majorHAnsi"/>
          <w:color w:val="333333"/>
          <w:sz w:val="24"/>
          <w:szCs w:val="24"/>
          <w:shd w:val="clear" w:color="auto" w:fill="FFFFFF"/>
        </w:rPr>
        <w:t>Sandwell has a decreasing trend</w:t>
      </w:r>
      <w:r w:rsidR="002E5158">
        <w:rPr>
          <w:rFonts w:cstheme="majorHAnsi"/>
          <w:color w:val="333333"/>
          <w:sz w:val="24"/>
          <w:szCs w:val="24"/>
          <w:shd w:val="clear" w:color="auto" w:fill="FFFFFF"/>
        </w:rPr>
        <w:t>.</w:t>
      </w:r>
    </w:p>
    <w:p w14:paraId="705AC482" w14:textId="1E8F032E" w:rsidR="00B3562C" w:rsidRDefault="00B3562C" w:rsidP="00B3562C">
      <w:pPr>
        <w:rPr>
          <w:rFonts w:cstheme="majorHAnsi"/>
          <w:b/>
          <w:color w:val="333333"/>
          <w:sz w:val="24"/>
          <w:szCs w:val="24"/>
          <w:u w:val="single"/>
          <w:shd w:val="clear" w:color="auto" w:fill="FFFFFF"/>
        </w:rPr>
      </w:pPr>
    </w:p>
    <w:p w14:paraId="6F79C42A" w14:textId="7C965B69" w:rsidR="00650377" w:rsidRPr="00650377" w:rsidRDefault="00650377" w:rsidP="00B3562C">
      <w:pPr>
        <w:rPr>
          <w:rFonts w:cstheme="majorHAnsi"/>
          <w:b/>
          <w:color w:val="333333"/>
          <w:sz w:val="24"/>
          <w:szCs w:val="24"/>
          <w:shd w:val="clear" w:color="auto" w:fill="FFFFFF"/>
        </w:rPr>
      </w:pPr>
      <w:r w:rsidRPr="00650377">
        <w:rPr>
          <w:rFonts w:cstheme="majorHAnsi"/>
          <w:b/>
          <w:color w:val="333333"/>
          <w:sz w:val="24"/>
          <w:szCs w:val="24"/>
          <w:shd w:val="clear" w:color="auto" w:fill="FFFFFF"/>
        </w:rPr>
        <w:t>Figure 1</w:t>
      </w:r>
      <w:r w:rsidR="00DA1C23">
        <w:rPr>
          <w:rFonts w:cstheme="majorHAnsi"/>
          <w:b/>
          <w:color w:val="333333"/>
          <w:sz w:val="24"/>
          <w:szCs w:val="24"/>
          <w:shd w:val="clear" w:color="auto" w:fill="FFFFFF"/>
        </w:rPr>
        <w:t>.1</w:t>
      </w:r>
      <w:r>
        <w:rPr>
          <w:rFonts w:cstheme="majorHAnsi"/>
          <w:b/>
          <w:color w:val="333333"/>
          <w:sz w:val="24"/>
          <w:szCs w:val="24"/>
          <w:shd w:val="clear" w:color="auto" w:fill="FFFFFF"/>
        </w:rPr>
        <w:t>:</w:t>
      </w:r>
    </w:p>
    <w:p w14:paraId="653190B5" w14:textId="39948365" w:rsidR="00B3562C" w:rsidRPr="00580BD2" w:rsidRDefault="00267A9B" w:rsidP="00B3562C">
      <w:pPr>
        <w:rPr>
          <w:rFonts w:cstheme="majorHAnsi"/>
          <w:sz w:val="24"/>
          <w:szCs w:val="24"/>
        </w:rPr>
      </w:pPr>
      <w:r>
        <w:rPr>
          <w:noProof/>
        </w:rPr>
        <w:drawing>
          <wp:inline distT="0" distB="0" distL="0" distR="0" wp14:anchorId="11818BBE" wp14:editId="3F6F635A">
            <wp:extent cx="6059959" cy="254947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9181" cy="2553351"/>
                    </a:xfrm>
                    <a:prstGeom prst="rect">
                      <a:avLst/>
                    </a:prstGeom>
                  </pic:spPr>
                </pic:pic>
              </a:graphicData>
            </a:graphic>
          </wp:inline>
        </w:drawing>
      </w:r>
    </w:p>
    <w:p w14:paraId="398955BB" w14:textId="24A6A7FB" w:rsidR="00B3562C" w:rsidRDefault="00FA246A" w:rsidP="00F836A2">
      <w:pPr>
        <w:rPr>
          <w:rFonts w:cstheme="majorHAnsi"/>
          <w:sz w:val="24"/>
          <w:szCs w:val="24"/>
        </w:rPr>
      </w:pPr>
      <w:r w:rsidRPr="00580BD2">
        <w:rPr>
          <w:rFonts w:cstheme="majorHAnsi"/>
          <w:b/>
          <w:sz w:val="24"/>
          <w:szCs w:val="24"/>
        </w:rPr>
        <w:t>Source:</w:t>
      </w:r>
      <w:r w:rsidRPr="00580BD2">
        <w:rPr>
          <w:rFonts w:cstheme="majorHAnsi"/>
          <w:sz w:val="24"/>
          <w:szCs w:val="24"/>
        </w:rPr>
        <w:t xml:space="preserve"> Public</w:t>
      </w:r>
      <w:r w:rsidR="0051082A" w:rsidRPr="00580BD2">
        <w:rPr>
          <w:rFonts w:cstheme="majorHAnsi"/>
          <w:sz w:val="24"/>
          <w:szCs w:val="24"/>
        </w:rPr>
        <w:t xml:space="preserve"> Health England Profiles</w:t>
      </w:r>
    </w:p>
    <w:p w14:paraId="288713B7" w14:textId="77777777" w:rsidR="00844483" w:rsidRDefault="00844483" w:rsidP="00F836A2">
      <w:pPr>
        <w:rPr>
          <w:rFonts w:cstheme="majorHAnsi"/>
          <w:sz w:val="24"/>
          <w:szCs w:val="24"/>
        </w:rPr>
      </w:pPr>
    </w:p>
    <w:p w14:paraId="7455969D" w14:textId="16C02116" w:rsidR="00844483" w:rsidRPr="00844483" w:rsidRDefault="00844483" w:rsidP="00F836A2">
      <w:pPr>
        <w:rPr>
          <w:rFonts w:cstheme="majorHAnsi"/>
          <w:sz w:val="24"/>
          <w:szCs w:val="24"/>
        </w:rPr>
      </w:pPr>
      <w:r w:rsidRPr="00AF2098">
        <w:rPr>
          <w:rFonts w:cstheme="majorHAnsi"/>
          <w:b/>
          <w:sz w:val="24"/>
          <w:szCs w:val="24"/>
          <w:highlight w:val="yellow"/>
        </w:rPr>
        <w:t>Figure 1.2</w:t>
      </w:r>
      <w:r w:rsidRPr="00AF2098">
        <w:rPr>
          <w:rFonts w:cstheme="majorHAnsi"/>
          <w:sz w:val="24"/>
          <w:szCs w:val="24"/>
          <w:highlight w:val="yellow"/>
        </w:rPr>
        <w:t xml:space="preserve"> </w:t>
      </w:r>
      <w:r w:rsidRPr="00AF2098">
        <w:rPr>
          <w:rFonts w:cstheme="minorHAnsi"/>
          <w:b/>
          <w:sz w:val="24"/>
          <w:szCs w:val="24"/>
          <w:highlight w:val="yellow"/>
        </w:rPr>
        <w:t>General Fertility Rate (GFR) by Ward - Sandwell - 2012-16</w:t>
      </w:r>
    </w:p>
    <w:p w14:paraId="50F282B6" w14:textId="77777777" w:rsidR="005771B5" w:rsidRDefault="005771B5" w:rsidP="005771B5">
      <w:pPr>
        <w:pStyle w:val="ListParagraph"/>
        <w:spacing w:after="0" w:line="240" w:lineRule="auto"/>
        <w:ind w:left="0"/>
      </w:pPr>
    </w:p>
    <w:p w14:paraId="639D8F33" w14:textId="0862ACD1" w:rsidR="00A03347" w:rsidRDefault="00A03347" w:rsidP="005771B5">
      <w:pPr>
        <w:spacing w:line="240" w:lineRule="auto"/>
        <w:rPr>
          <w:sz w:val="24"/>
          <w:szCs w:val="24"/>
        </w:rPr>
      </w:pPr>
    </w:p>
    <w:p w14:paraId="7626D756" w14:textId="77777777" w:rsidR="00844483" w:rsidRDefault="00844483" w:rsidP="00844483">
      <w:pPr>
        <w:spacing w:after="0" w:line="240" w:lineRule="auto"/>
        <w:rPr>
          <w:rFonts w:cstheme="minorHAnsi"/>
          <w:sz w:val="24"/>
          <w:szCs w:val="24"/>
        </w:rPr>
      </w:pPr>
      <w:r w:rsidRPr="00AC7E31">
        <w:rPr>
          <w:noProof/>
        </w:rPr>
        <w:drawing>
          <wp:anchor distT="0" distB="0" distL="114300" distR="114300" simplePos="0" relativeHeight="251658240" behindDoc="0" locked="0" layoutInCell="1" allowOverlap="1" wp14:anchorId="493EA2DB" wp14:editId="3299548A">
            <wp:simplePos x="0" y="0"/>
            <wp:positionH relativeFrom="margin">
              <wp:align>left</wp:align>
            </wp:positionH>
            <wp:positionV relativeFrom="paragraph">
              <wp:posOffset>-311786</wp:posOffset>
            </wp:positionV>
            <wp:extent cx="2330450" cy="237077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0450" cy="2370779"/>
                    </a:xfrm>
                    <a:prstGeom prst="rect">
                      <a:avLst/>
                    </a:prstGeom>
                  </pic:spPr>
                </pic:pic>
              </a:graphicData>
            </a:graphic>
            <wp14:sizeRelH relativeFrom="page">
              <wp14:pctWidth>0</wp14:pctWidth>
            </wp14:sizeRelH>
            <wp14:sizeRelV relativeFrom="page">
              <wp14:pctHeight>0</wp14:pctHeight>
            </wp14:sizeRelV>
          </wp:anchor>
        </w:drawing>
      </w:r>
      <w:r w:rsidRPr="00844483">
        <w:rPr>
          <w:rFonts w:cstheme="minorHAnsi"/>
          <w:b/>
          <w:sz w:val="24"/>
          <w:szCs w:val="24"/>
          <w:u w:val="single"/>
        </w:rPr>
        <w:t>Key</w:t>
      </w:r>
      <w:r w:rsidRPr="00844483">
        <w:rPr>
          <w:rFonts w:cstheme="minorHAnsi"/>
          <w:sz w:val="24"/>
          <w:szCs w:val="24"/>
        </w:rPr>
        <w:t xml:space="preserve"> </w:t>
      </w:r>
    </w:p>
    <w:p w14:paraId="1F32F32B" w14:textId="486C19CE" w:rsidR="00844483" w:rsidRPr="00844483" w:rsidRDefault="00844483" w:rsidP="00844483">
      <w:pPr>
        <w:spacing w:after="0" w:line="240" w:lineRule="auto"/>
        <w:rPr>
          <w:rFonts w:cstheme="minorHAnsi"/>
          <w:sz w:val="24"/>
          <w:szCs w:val="24"/>
        </w:rPr>
      </w:pPr>
      <w:r w:rsidRPr="00844483">
        <w:rPr>
          <w:rFonts w:cstheme="minorHAnsi"/>
          <w:sz w:val="24"/>
          <w:szCs w:val="24"/>
        </w:rPr>
        <w:t xml:space="preserve">1. </w:t>
      </w:r>
      <w:r w:rsidRPr="00844483">
        <w:rPr>
          <w:sz w:val="24"/>
          <w:szCs w:val="24"/>
        </w:rPr>
        <w:t xml:space="preserve">General Fertility Rate </w:t>
      </w:r>
      <w:r w:rsidRPr="00844483">
        <w:rPr>
          <w:rFonts w:cstheme="minorHAnsi"/>
          <w:sz w:val="24"/>
          <w:szCs w:val="24"/>
        </w:rPr>
        <w:t xml:space="preserve">(GFR)= </w:t>
      </w:r>
      <w:r w:rsidRPr="00844483">
        <w:rPr>
          <w:rFonts w:eastAsia="Times New Roman" w:cstheme="minorHAnsi"/>
          <w:sz w:val="24"/>
          <w:szCs w:val="24"/>
          <w:lang w:eastAsia="en-GB"/>
        </w:rPr>
        <w:t>Birth rate per 1,000 females aged 15 to 44 years</w:t>
      </w:r>
      <w:r w:rsidRPr="00844483">
        <w:rPr>
          <w:rFonts w:cstheme="minorHAnsi"/>
          <w:sz w:val="24"/>
          <w:szCs w:val="24"/>
        </w:rPr>
        <w:t xml:space="preserve">  </w:t>
      </w:r>
    </w:p>
    <w:p w14:paraId="00A7776A" w14:textId="253EC9D4" w:rsidR="00844483" w:rsidRPr="00844483" w:rsidRDefault="00844483" w:rsidP="00844483">
      <w:pPr>
        <w:spacing w:after="0" w:line="240" w:lineRule="auto"/>
        <w:ind w:left="384"/>
        <w:rPr>
          <w:sz w:val="24"/>
          <w:szCs w:val="24"/>
        </w:rPr>
      </w:pPr>
      <w:r w:rsidRPr="00844483">
        <w:rPr>
          <w:rFonts w:cstheme="minorHAnsi"/>
          <w:sz w:val="24"/>
          <w:szCs w:val="24"/>
        </w:rPr>
        <w:t xml:space="preserve">2. </w:t>
      </w:r>
      <w:r>
        <w:rPr>
          <w:rFonts w:cstheme="minorHAnsi"/>
          <w:sz w:val="24"/>
          <w:szCs w:val="24"/>
        </w:rPr>
        <w:t>T</w:t>
      </w:r>
      <w:r w:rsidRPr="00844483">
        <w:rPr>
          <w:sz w:val="24"/>
          <w:szCs w:val="24"/>
        </w:rPr>
        <w:t>he darker the shade of blue the higher the GFR</w:t>
      </w:r>
    </w:p>
    <w:p w14:paraId="5C843A35" w14:textId="29305864" w:rsidR="00844483" w:rsidRDefault="00844483" w:rsidP="00844483">
      <w:pPr>
        <w:spacing w:line="240" w:lineRule="auto"/>
        <w:jc w:val="both"/>
      </w:pPr>
      <w:r w:rsidRPr="00844483">
        <w:rPr>
          <w:sz w:val="24"/>
          <w:szCs w:val="24"/>
        </w:rPr>
        <w:t xml:space="preserve">3. </w:t>
      </w:r>
      <w:r>
        <w:rPr>
          <w:rFonts w:cstheme="minorHAnsi"/>
          <w:sz w:val="24"/>
          <w:szCs w:val="24"/>
        </w:rPr>
        <w:t>Figure 1.3</w:t>
      </w:r>
      <w:r w:rsidRPr="00844483">
        <w:rPr>
          <w:rFonts w:cstheme="minorHAnsi"/>
          <w:sz w:val="24"/>
          <w:szCs w:val="24"/>
        </w:rPr>
        <w:t xml:space="preserve"> gives the ward</w:t>
      </w:r>
      <w:r>
        <w:rPr>
          <w:rFonts w:cstheme="minorHAnsi"/>
          <w:sz w:val="24"/>
          <w:szCs w:val="24"/>
        </w:rPr>
        <w:t xml:space="preserve"> names</w:t>
      </w:r>
      <w:r w:rsidRPr="00844483">
        <w:rPr>
          <w:rFonts w:cstheme="minorHAnsi"/>
          <w:sz w:val="24"/>
          <w:szCs w:val="24"/>
        </w:rPr>
        <w:t xml:space="preserve"> which the numbers on the map relate to e.g. 6</w:t>
      </w:r>
      <w:r>
        <w:rPr>
          <w:rFonts w:cstheme="minorHAnsi"/>
          <w:sz w:val="24"/>
          <w:szCs w:val="24"/>
        </w:rPr>
        <w:t xml:space="preserve"> = Friar Park</w:t>
      </w:r>
      <w:r>
        <w:rPr>
          <w:rFonts w:cstheme="minorHAnsi"/>
          <w:sz w:val="24"/>
          <w:szCs w:val="24"/>
        </w:rPr>
        <w:br/>
      </w:r>
    </w:p>
    <w:p w14:paraId="57B9E2F9" w14:textId="77777777" w:rsidR="00844483" w:rsidRPr="00A03347" w:rsidRDefault="00844483" w:rsidP="00844483">
      <w:pPr>
        <w:spacing w:after="0" w:line="240" w:lineRule="auto"/>
        <w:rPr>
          <w:rFonts w:cstheme="minorHAnsi"/>
          <w:sz w:val="24"/>
          <w:szCs w:val="24"/>
        </w:rPr>
      </w:pPr>
      <w:r w:rsidRPr="00A03347">
        <w:rPr>
          <w:rFonts w:cstheme="minorHAnsi"/>
          <w:b/>
          <w:sz w:val="24"/>
          <w:szCs w:val="24"/>
        </w:rPr>
        <w:t xml:space="preserve">Source: </w:t>
      </w:r>
      <w:r w:rsidRPr="00A03347">
        <w:rPr>
          <w:rFonts w:cstheme="minorHAnsi"/>
          <w:sz w:val="24"/>
          <w:szCs w:val="24"/>
        </w:rPr>
        <w:t>NHS Digital Births data and Office for National Statistics Population Data</w:t>
      </w:r>
    </w:p>
    <w:p w14:paraId="139B9871" w14:textId="60A41732" w:rsidR="00844483" w:rsidRDefault="00844483" w:rsidP="00844483">
      <w:pPr>
        <w:spacing w:line="240" w:lineRule="auto"/>
        <w:rPr>
          <w:sz w:val="24"/>
          <w:szCs w:val="24"/>
        </w:rPr>
      </w:pPr>
      <w:r>
        <w:rPr>
          <w:rFonts w:cstheme="minorHAnsi"/>
        </w:rPr>
        <w:br/>
      </w:r>
      <w:r w:rsidRPr="003165B5">
        <w:rPr>
          <w:rFonts w:cstheme="minorHAnsi"/>
        </w:rPr>
        <w:t>© Crown copyright and database rights 2019 Ordnance Survey Licence No 100032119</w:t>
      </w:r>
    </w:p>
    <w:p w14:paraId="18600252" w14:textId="21B65B1B" w:rsidR="005771B5" w:rsidRPr="005771B5" w:rsidRDefault="005771B5" w:rsidP="005771B5">
      <w:pPr>
        <w:spacing w:line="240" w:lineRule="auto"/>
        <w:rPr>
          <w:sz w:val="24"/>
          <w:szCs w:val="24"/>
        </w:rPr>
      </w:pPr>
      <w:r>
        <w:rPr>
          <w:sz w:val="24"/>
          <w:szCs w:val="24"/>
        </w:rPr>
        <w:t xml:space="preserve">At a ward level, for the period 2012-16, there </w:t>
      </w:r>
      <w:r w:rsidRPr="005771B5">
        <w:rPr>
          <w:sz w:val="24"/>
          <w:szCs w:val="24"/>
        </w:rPr>
        <w:t xml:space="preserve">is </w:t>
      </w:r>
      <w:r>
        <w:rPr>
          <w:sz w:val="24"/>
          <w:szCs w:val="24"/>
        </w:rPr>
        <w:t>some</w:t>
      </w:r>
      <w:r w:rsidRPr="005771B5">
        <w:rPr>
          <w:sz w:val="24"/>
          <w:szCs w:val="24"/>
        </w:rPr>
        <w:t xml:space="preserve"> variance between wards in Sandwell</w:t>
      </w:r>
      <w:r>
        <w:rPr>
          <w:sz w:val="24"/>
          <w:szCs w:val="24"/>
        </w:rPr>
        <w:t>.</w:t>
      </w:r>
      <w:r w:rsidRPr="005771B5">
        <w:rPr>
          <w:sz w:val="24"/>
          <w:szCs w:val="24"/>
        </w:rPr>
        <w:t xml:space="preserve"> </w:t>
      </w:r>
    </w:p>
    <w:p w14:paraId="3645C25B" w14:textId="0408CE31" w:rsidR="005771B5" w:rsidRPr="005771B5" w:rsidRDefault="005771B5" w:rsidP="00B13D4A">
      <w:pPr>
        <w:pStyle w:val="ListParagraph"/>
        <w:numPr>
          <w:ilvl w:val="0"/>
          <w:numId w:val="16"/>
        </w:numPr>
        <w:spacing w:line="240" w:lineRule="auto"/>
        <w:rPr>
          <w:sz w:val="24"/>
          <w:szCs w:val="24"/>
        </w:rPr>
      </w:pPr>
      <w:r w:rsidRPr="005771B5">
        <w:rPr>
          <w:sz w:val="24"/>
          <w:szCs w:val="24"/>
        </w:rPr>
        <w:t>Some varia</w:t>
      </w:r>
      <w:r>
        <w:rPr>
          <w:sz w:val="24"/>
          <w:szCs w:val="24"/>
        </w:rPr>
        <w:t>tion</w:t>
      </w:r>
      <w:r w:rsidRPr="005771B5">
        <w:rPr>
          <w:sz w:val="24"/>
          <w:szCs w:val="24"/>
        </w:rPr>
        <w:t xml:space="preserve"> may reflect differences in the number of </w:t>
      </w:r>
      <w:r>
        <w:rPr>
          <w:sz w:val="24"/>
          <w:szCs w:val="24"/>
        </w:rPr>
        <w:t>women</w:t>
      </w:r>
      <w:r w:rsidRPr="005771B5">
        <w:rPr>
          <w:sz w:val="24"/>
          <w:szCs w:val="24"/>
        </w:rPr>
        <w:t xml:space="preserve"> of </w:t>
      </w:r>
      <w:r>
        <w:rPr>
          <w:sz w:val="24"/>
          <w:szCs w:val="24"/>
        </w:rPr>
        <w:t>child-bearing age by ward</w:t>
      </w:r>
      <w:r w:rsidR="00A03347">
        <w:rPr>
          <w:sz w:val="24"/>
          <w:szCs w:val="24"/>
        </w:rPr>
        <w:t>.</w:t>
      </w:r>
    </w:p>
    <w:p w14:paraId="2D3DEA3C" w14:textId="74E9965B" w:rsidR="005771B5" w:rsidRPr="005771B5" w:rsidRDefault="005771B5" w:rsidP="00B13D4A">
      <w:pPr>
        <w:pStyle w:val="ListParagraph"/>
        <w:numPr>
          <w:ilvl w:val="0"/>
          <w:numId w:val="16"/>
        </w:numPr>
        <w:spacing w:line="240" w:lineRule="auto"/>
        <w:rPr>
          <w:sz w:val="24"/>
          <w:szCs w:val="24"/>
        </w:rPr>
      </w:pPr>
      <w:r w:rsidRPr="005771B5">
        <w:rPr>
          <w:sz w:val="24"/>
          <w:szCs w:val="24"/>
        </w:rPr>
        <w:t xml:space="preserve">Compared to </w:t>
      </w:r>
      <w:r w:rsidR="00A03347">
        <w:rPr>
          <w:sz w:val="24"/>
          <w:szCs w:val="24"/>
        </w:rPr>
        <w:t xml:space="preserve">the </w:t>
      </w:r>
      <w:r w:rsidRPr="005771B5">
        <w:rPr>
          <w:sz w:val="24"/>
          <w:szCs w:val="24"/>
        </w:rPr>
        <w:t>Sandwell</w:t>
      </w:r>
      <w:r w:rsidR="00A03347">
        <w:rPr>
          <w:sz w:val="24"/>
          <w:szCs w:val="24"/>
        </w:rPr>
        <w:t xml:space="preserve"> average, s</w:t>
      </w:r>
      <w:r w:rsidRPr="005771B5">
        <w:rPr>
          <w:sz w:val="24"/>
          <w:szCs w:val="24"/>
        </w:rPr>
        <w:t>ix wards were statistically higher (</w:t>
      </w:r>
      <w:r w:rsidR="00A03347">
        <w:rPr>
          <w:sz w:val="24"/>
          <w:szCs w:val="24"/>
        </w:rPr>
        <w:t xml:space="preserve">the 6 </w:t>
      </w:r>
      <w:r w:rsidRPr="005771B5">
        <w:rPr>
          <w:sz w:val="24"/>
          <w:szCs w:val="24"/>
        </w:rPr>
        <w:t xml:space="preserve">highest rates </w:t>
      </w:r>
      <w:r w:rsidR="00A03347">
        <w:rPr>
          <w:sz w:val="24"/>
          <w:szCs w:val="24"/>
        </w:rPr>
        <w:t>in figure 1.2</w:t>
      </w:r>
      <w:r w:rsidRPr="005771B5">
        <w:rPr>
          <w:sz w:val="24"/>
          <w:szCs w:val="24"/>
        </w:rPr>
        <w:t>), thirteen were statistically similar and five were statistically lower (</w:t>
      </w:r>
      <w:r w:rsidR="00A03347">
        <w:rPr>
          <w:sz w:val="24"/>
          <w:szCs w:val="24"/>
        </w:rPr>
        <w:t xml:space="preserve">the </w:t>
      </w:r>
      <w:r w:rsidRPr="005771B5">
        <w:rPr>
          <w:sz w:val="24"/>
          <w:szCs w:val="24"/>
        </w:rPr>
        <w:t xml:space="preserve">lowest </w:t>
      </w:r>
      <w:r w:rsidR="00A03347">
        <w:rPr>
          <w:sz w:val="24"/>
          <w:szCs w:val="24"/>
        </w:rPr>
        <w:t>5 r</w:t>
      </w:r>
      <w:r w:rsidRPr="005771B5">
        <w:rPr>
          <w:sz w:val="24"/>
          <w:szCs w:val="24"/>
        </w:rPr>
        <w:t xml:space="preserve">ates </w:t>
      </w:r>
      <w:r w:rsidR="00A03347">
        <w:rPr>
          <w:sz w:val="24"/>
          <w:szCs w:val="24"/>
        </w:rPr>
        <w:t>in figure 1.2).</w:t>
      </w:r>
    </w:p>
    <w:p w14:paraId="3B4FDD15" w14:textId="7404CA88" w:rsidR="005771B5" w:rsidRDefault="005771B5" w:rsidP="00B13D4A">
      <w:pPr>
        <w:pStyle w:val="ListParagraph"/>
        <w:numPr>
          <w:ilvl w:val="0"/>
          <w:numId w:val="16"/>
        </w:numPr>
        <w:spacing w:line="240" w:lineRule="auto"/>
        <w:rPr>
          <w:sz w:val="24"/>
          <w:szCs w:val="24"/>
        </w:rPr>
      </w:pPr>
      <w:r w:rsidRPr="005771B5">
        <w:rPr>
          <w:sz w:val="24"/>
          <w:szCs w:val="24"/>
        </w:rPr>
        <w:t xml:space="preserve">Compared to </w:t>
      </w:r>
      <w:r w:rsidR="00A03347">
        <w:rPr>
          <w:sz w:val="24"/>
          <w:szCs w:val="24"/>
        </w:rPr>
        <w:t xml:space="preserve">the </w:t>
      </w:r>
      <w:r w:rsidRPr="005771B5">
        <w:rPr>
          <w:sz w:val="24"/>
          <w:szCs w:val="24"/>
        </w:rPr>
        <w:t>England</w:t>
      </w:r>
      <w:r w:rsidR="00A03347">
        <w:rPr>
          <w:sz w:val="24"/>
          <w:szCs w:val="24"/>
        </w:rPr>
        <w:t xml:space="preserve"> average, </w:t>
      </w:r>
      <w:r w:rsidRPr="005771B5">
        <w:rPr>
          <w:sz w:val="24"/>
          <w:szCs w:val="24"/>
        </w:rPr>
        <w:t xml:space="preserve">two wards </w:t>
      </w:r>
      <w:r w:rsidR="00A03347">
        <w:rPr>
          <w:sz w:val="24"/>
          <w:szCs w:val="24"/>
        </w:rPr>
        <w:t>(</w:t>
      </w:r>
      <w:r w:rsidRPr="005771B5">
        <w:rPr>
          <w:sz w:val="24"/>
          <w:szCs w:val="24"/>
        </w:rPr>
        <w:t>Newton and Old Warley) were statistically similar</w:t>
      </w:r>
      <w:r w:rsidR="00A03347">
        <w:rPr>
          <w:sz w:val="24"/>
          <w:szCs w:val="24"/>
        </w:rPr>
        <w:t>,</w:t>
      </w:r>
      <w:r w:rsidRPr="005771B5">
        <w:rPr>
          <w:sz w:val="24"/>
          <w:szCs w:val="24"/>
        </w:rPr>
        <w:t xml:space="preserve"> and twenty-two were statistically higher</w:t>
      </w:r>
      <w:r w:rsidR="00A03347">
        <w:rPr>
          <w:sz w:val="24"/>
          <w:szCs w:val="24"/>
        </w:rPr>
        <w:t>.</w:t>
      </w:r>
    </w:p>
    <w:p w14:paraId="76DACC26" w14:textId="6C6EABCD" w:rsidR="00A03347" w:rsidRPr="005771B5" w:rsidRDefault="00A03347" w:rsidP="00B13D4A">
      <w:pPr>
        <w:pStyle w:val="ListParagraph"/>
        <w:numPr>
          <w:ilvl w:val="0"/>
          <w:numId w:val="16"/>
        </w:numPr>
        <w:spacing w:line="240" w:lineRule="auto"/>
        <w:rPr>
          <w:sz w:val="24"/>
          <w:szCs w:val="24"/>
        </w:rPr>
      </w:pPr>
      <w:r>
        <w:rPr>
          <w:sz w:val="24"/>
          <w:szCs w:val="24"/>
        </w:rPr>
        <w:t>The highest GFR was in Soho &amp; Victoria (99.8 births per 1,000 females aged 15 to 44 years), whilst the lowest was on Newton (62.4 per 1,000).</w:t>
      </w:r>
    </w:p>
    <w:p w14:paraId="01E14DF1" w14:textId="77777777" w:rsidR="005771B5" w:rsidRDefault="005771B5" w:rsidP="005771B5">
      <w:pPr>
        <w:pStyle w:val="ListParagraph"/>
        <w:spacing w:after="0" w:line="240" w:lineRule="auto"/>
        <w:ind w:left="142"/>
      </w:pPr>
    </w:p>
    <w:p w14:paraId="00B4A296" w14:textId="7560DF7B" w:rsidR="005771B5" w:rsidRPr="005771B5" w:rsidRDefault="00844483" w:rsidP="00F836A2">
      <w:pPr>
        <w:rPr>
          <w:rFonts w:cstheme="majorHAnsi"/>
          <w:b/>
          <w:sz w:val="24"/>
          <w:szCs w:val="24"/>
        </w:rPr>
      </w:pPr>
      <w:r>
        <w:rPr>
          <w:rFonts w:cstheme="majorHAnsi"/>
          <w:b/>
          <w:sz w:val="24"/>
          <w:szCs w:val="24"/>
        </w:rPr>
        <w:br/>
      </w:r>
      <w:r w:rsidR="005771B5" w:rsidRPr="005771B5">
        <w:rPr>
          <w:rFonts w:cstheme="majorHAnsi"/>
          <w:b/>
          <w:sz w:val="24"/>
          <w:szCs w:val="24"/>
        </w:rPr>
        <w:t>Figure 1.</w:t>
      </w:r>
      <w:r w:rsidR="00AD1B98">
        <w:rPr>
          <w:rFonts w:cstheme="majorHAnsi"/>
          <w:b/>
          <w:sz w:val="24"/>
          <w:szCs w:val="24"/>
        </w:rPr>
        <w:t>3</w:t>
      </w:r>
    </w:p>
    <w:p w14:paraId="1441AF49" w14:textId="732242EB" w:rsidR="008F3750" w:rsidRDefault="005771B5" w:rsidP="00341742">
      <w:pPr>
        <w:jc w:val="both"/>
        <w:rPr>
          <w:rFonts w:cs="Arial"/>
          <w:b/>
          <w:sz w:val="24"/>
          <w:szCs w:val="24"/>
        </w:rPr>
      </w:pPr>
      <w:r>
        <w:rPr>
          <w:rFonts w:cstheme="minorHAnsi"/>
          <w:noProof/>
        </w:rPr>
        <w:drawing>
          <wp:inline distT="0" distB="0" distL="0" distR="0" wp14:anchorId="3D4C76D1" wp14:editId="3F4CF259">
            <wp:extent cx="3073400" cy="4344967"/>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261" cy="4371631"/>
                    </a:xfrm>
                    <a:prstGeom prst="rect">
                      <a:avLst/>
                    </a:prstGeom>
                    <a:noFill/>
                  </pic:spPr>
                </pic:pic>
              </a:graphicData>
            </a:graphic>
          </wp:inline>
        </w:drawing>
      </w:r>
    </w:p>
    <w:p w14:paraId="706DB923" w14:textId="3C03067D" w:rsidR="00A03347" w:rsidRDefault="00A03347" w:rsidP="00A03347">
      <w:pPr>
        <w:spacing w:after="0" w:line="240" w:lineRule="auto"/>
        <w:rPr>
          <w:rFonts w:cstheme="minorHAnsi"/>
          <w:b/>
        </w:rPr>
      </w:pPr>
      <w:r w:rsidRPr="00A03347">
        <w:rPr>
          <w:rFonts w:cstheme="minorHAnsi"/>
          <w:b/>
        </w:rPr>
        <w:t xml:space="preserve"> </w:t>
      </w:r>
    </w:p>
    <w:p w14:paraId="06D62FE4" w14:textId="77777777" w:rsidR="00844483" w:rsidRDefault="00844483" w:rsidP="005B1F6D">
      <w:pPr>
        <w:pStyle w:val="Heading2"/>
      </w:pPr>
    </w:p>
    <w:p w14:paraId="6D8A8FDA" w14:textId="51355A4D" w:rsidR="00341742" w:rsidRPr="00580BD2" w:rsidRDefault="00341742" w:rsidP="005B1F6D">
      <w:pPr>
        <w:pStyle w:val="Heading2"/>
      </w:pPr>
      <w:r w:rsidRPr="00580BD2">
        <w:t>Live Births</w:t>
      </w:r>
    </w:p>
    <w:p w14:paraId="77BDA151" w14:textId="630B2B25" w:rsidR="00341742" w:rsidRPr="00580BD2" w:rsidRDefault="00EC0965" w:rsidP="00EC0965">
      <w:pPr>
        <w:rPr>
          <w:rFonts w:cs="Arial"/>
          <w:sz w:val="24"/>
          <w:szCs w:val="24"/>
        </w:rPr>
      </w:pPr>
      <w:r>
        <w:rPr>
          <w:rFonts w:cs="Arial"/>
          <w:sz w:val="24"/>
          <w:szCs w:val="24"/>
        </w:rPr>
        <w:t>In Sandwell, t</w:t>
      </w:r>
      <w:r w:rsidR="00341742" w:rsidRPr="00580BD2">
        <w:rPr>
          <w:rFonts w:cs="Arial"/>
          <w:sz w:val="24"/>
          <w:szCs w:val="24"/>
        </w:rPr>
        <w:t xml:space="preserve">he crude number of live births has increased slightly </w:t>
      </w:r>
      <w:r>
        <w:rPr>
          <w:rFonts w:cs="Arial"/>
          <w:sz w:val="24"/>
          <w:szCs w:val="24"/>
        </w:rPr>
        <w:t>from</w:t>
      </w:r>
      <w:r w:rsidR="00341742" w:rsidRPr="00580BD2">
        <w:rPr>
          <w:rFonts w:cs="Arial"/>
          <w:sz w:val="24"/>
          <w:szCs w:val="24"/>
        </w:rPr>
        <w:t xml:space="preserve"> 2008 to 2012. From 2013 till </w:t>
      </w:r>
      <w:r w:rsidR="00751F23">
        <w:rPr>
          <w:rFonts w:cs="Arial"/>
          <w:sz w:val="24"/>
          <w:szCs w:val="24"/>
        </w:rPr>
        <w:t>2020</w:t>
      </w:r>
      <w:r w:rsidR="00341742" w:rsidRPr="00580BD2">
        <w:rPr>
          <w:rFonts w:cs="Arial"/>
          <w:sz w:val="24"/>
          <w:szCs w:val="24"/>
        </w:rPr>
        <w:t xml:space="preserve"> the number has gradually decreased as described in figure 1</w:t>
      </w:r>
      <w:r w:rsidR="00AD1B98">
        <w:rPr>
          <w:rFonts w:cs="Arial"/>
          <w:sz w:val="24"/>
          <w:szCs w:val="24"/>
        </w:rPr>
        <w:t>.4</w:t>
      </w:r>
      <w:r w:rsidR="00341742" w:rsidRPr="00580BD2">
        <w:rPr>
          <w:rFonts w:cs="Arial"/>
          <w:sz w:val="24"/>
          <w:szCs w:val="24"/>
        </w:rPr>
        <w:t>. However, between 2014 and 2015 there was a slight increase and a gradual decrease afterwards.</w:t>
      </w:r>
    </w:p>
    <w:p w14:paraId="6752C0FD" w14:textId="574010F7" w:rsidR="00341742" w:rsidRPr="00580BD2" w:rsidRDefault="00650377" w:rsidP="00341742">
      <w:pPr>
        <w:pStyle w:val="Default"/>
        <w:spacing w:before="100" w:beforeAutospacing="1" w:after="100" w:afterAutospacing="1" w:line="360" w:lineRule="auto"/>
        <w:rPr>
          <w:rFonts w:asciiTheme="minorHAnsi" w:hAnsiTheme="minorHAnsi"/>
          <w:b/>
          <w:color w:val="auto"/>
        </w:rPr>
      </w:pPr>
      <w:r>
        <w:rPr>
          <w:rFonts w:asciiTheme="minorHAnsi" w:hAnsiTheme="minorHAnsi"/>
          <w:b/>
          <w:color w:val="auto"/>
        </w:rPr>
        <w:t xml:space="preserve">Figure </w:t>
      </w:r>
      <w:r w:rsidR="00DA1C23">
        <w:rPr>
          <w:rFonts w:asciiTheme="minorHAnsi" w:hAnsiTheme="minorHAnsi"/>
          <w:b/>
          <w:color w:val="auto"/>
        </w:rPr>
        <w:t>1.</w:t>
      </w:r>
      <w:r w:rsidR="00AD1B98">
        <w:rPr>
          <w:rFonts w:asciiTheme="minorHAnsi" w:hAnsiTheme="minorHAnsi"/>
          <w:b/>
          <w:color w:val="auto"/>
        </w:rPr>
        <w:t>4</w:t>
      </w:r>
      <w:r>
        <w:rPr>
          <w:rFonts w:asciiTheme="minorHAnsi" w:hAnsiTheme="minorHAnsi"/>
          <w:b/>
          <w:color w:val="auto"/>
        </w:rPr>
        <w:t>:</w:t>
      </w:r>
      <w:r w:rsidR="00341742" w:rsidRPr="00580BD2">
        <w:rPr>
          <w:rFonts w:asciiTheme="minorHAnsi" w:hAnsiTheme="minorHAnsi"/>
          <w:b/>
          <w:color w:val="auto"/>
        </w:rPr>
        <w:t xml:space="preserve"> Crude number of </w:t>
      </w:r>
      <w:r w:rsidR="00A97C9F">
        <w:rPr>
          <w:rFonts w:asciiTheme="minorHAnsi" w:hAnsiTheme="minorHAnsi"/>
          <w:b/>
          <w:color w:val="auto"/>
        </w:rPr>
        <w:t>Live</w:t>
      </w:r>
      <w:r w:rsidR="000C3E3B">
        <w:rPr>
          <w:rFonts w:asciiTheme="minorHAnsi" w:hAnsiTheme="minorHAnsi"/>
          <w:b/>
          <w:color w:val="auto"/>
        </w:rPr>
        <w:t xml:space="preserve"> </w:t>
      </w:r>
      <w:r w:rsidR="00A97C9F">
        <w:rPr>
          <w:rFonts w:asciiTheme="minorHAnsi" w:hAnsiTheme="minorHAnsi"/>
          <w:b/>
          <w:color w:val="auto"/>
        </w:rPr>
        <w:t>births</w:t>
      </w:r>
      <w:r w:rsidR="00341742" w:rsidRPr="00580BD2">
        <w:rPr>
          <w:rFonts w:asciiTheme="minorHAnsi" w:hAnsiTheme="minorHAnsi"/>
          <w:b/>
          <w:color w:val="auto"/>
        </w:rPr>
        <w:t xml:space="preserve"> in Sandwell 2008-</w:t>
      </w:r>
      <w:r w:rsidR="00A97C9F">
        <w:rPr>
          <w:rFonts w:asciiTheme="minorHAnsi" w:hAnsiTheme="minorHAnsi"/>
          <w:b/>
          <w:color w:val="auto"/>
        </w:rPr>
        <w:t>2020</w:t>
      </w:r>
    </w:p>
    <w:p w14:paraId="49B5C3CE" w14:textId="52D3591B" w:rsidR="00A97C9F" w:rsidRPr="00580BD2" w:rsidRDefault="00A97C9F" w:rsidP="00341742">
      <w:pPr>
        <w:pStyle w:val="Default"/>
        <w:spacing w:before="100" w:beforeAutospacing="1" w:after="100" w:afterAutospacing="1" w:line="360" w:lineRule="auto"/>
        <w:rPr>
          <w:rFonts w:asciiTheme="minorHAnsi" w:hAnsiTheme="minorHAnsi"/>
          <w:b/>
          <w:color w:val="auto"/>
        </w:rPr>
      </w:pPr>
      <w:r>
        <w:rPr>
          <w:rFonts w:asciiTheme="minorHAnsi" w:hAnsiTheme="minorHAnsi"/>
          <w:b/>
          <w:noProof/>
          <w:color w:val="auto"/>
        </w:rPr>
        <w:drawing>
          <wp:inline distT="0" distB="0" distL="0" distR="0" wp14:anchorId="5C13AEC5" wp14:editId="5672E4CD">
            <wp:extent cx="5186813" cy="3554797"/>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86813" cy="3554797"/>
                    </a:xfrm>
                    <a:prstGeom prst="rect">
                      <a:avLst/>
                    </a:prstGeom>
                    <a:noFill/>
                  </pic:spPr>
                </pic:pic>
              </a:graphicData>
            </a:graphic>
          </wp:inline>
        </w:drawing>
      </w:r>
    </w:p>
    <w:p w14:paraId="6CC28EB0" w14:textId="6337D5EF" w:rsidR="00341742" w:rsidRPr="00580BD2" w:rsidRDefault="00341742" w:rsidP="00341742">
      <w:pPr>
        <w:pStyle w:val="Default"/>
        <w:spacing w:before="100" w:beforeAutospacing="1" w:after="100" w:afterAutospacing="1" w:line="360" w:lineRule="auto"/>
        <w:rPr>
          <w:rFonts w:asciiTheme="minorHAnsi" w:hAnsiTheme="minorHAnsi"/>
          <w:b/>
          <w:color w:val="auto"/>
        </w:rPr>
      </w:pPr>
      <w:r w:rsidRPr="00580BD2">
        <w:rPr>
          <w:rFonts w:asciiTheme="minorHAnsi" w:hAnsiTheme="minorHAnsi"/>
          <w:color w:val="auto"/>
        </w:rPr>
        <w:t>Source: Office for National Statistics</w:t>
      </w:r>
    </w:p>
    <w:p w14:paraId="7EE8DB89" w14:textId="5302E301" w:rsidR="00341742" w:rsidRPr="00580BD2" w:rsidRDefault="00341742" w:rsidP="00580BD2">
      <w:pPr>
        <w:pStyle w:val="Default"/>
        <w:spacing w:before="100" w:beforeAutospacing="1" w:after="100" w:afterAutospacing="1"/>
        <w:jc w:val="both"/>
        <w:rPr>
          <w:rFonts w:asciiTheme="minorHAnsi" w:hAnsiTheme="minorHAnsi"/>
        </w:rPr>
      </w:pPr>
      <w:r w:rsidRPr="00580BD2">
        <w:rPr>
          <w:rFonts w:asciiTheme="minorHAnsi" w:hAnsiTheme="minorHAnsi"/>
        </w:rPr>
        <w:t>Table 1</w:t>
      </w:r>
      <w:r w:rsidR="00A60067">
        <w:rPr>
          <w:rFonts w:asciiTheme="minorHAnsi" w:hAnsiTheme="minorHAnsi"/>
        </w:rPr>
        <w:t>.1</w:t>
      </w:r>
      <w:r w:rsidRPr="00580BD2">
        <w:rPr>
          <w:rFonts w:asciiTheme="minorHAnsi" w:hAnsiTheme="minorHAnsi"/>
        </w:rPr>
        <w:t xml:space="preserve"> shows the percentage change in the number of live births in Sandwell, West Midlands (met county) and England. In 2013, the steep decline of the live births in Sandwell doubled when compared with West midlands (Metropolitan county). Furthermore, the decline during this period in Sandwell was higher than the national rate</w:t>
      </w:r>
      <w:bookmarkStart w:id="2" w:name="_Hlk22804075"/>
      <w:r w:rsidR="005952A1">
        <w:rPr>
          <w:rFonts w:asciiTheme="minorHAnsi" w:hAnsiTheme="minorHAnsi"/>
        </w:rPr>
        <w:t xml:space="preserve"> until 2019-20, when Sandwell’s rate of decline fell below the national rate</w:t>
      </w:r>
      <w:r w:rsidRPr="00580BD2">
        <w:rPr>
          <w:rFonts w:asciiTheme="minorHAnsi" w:hAnsiTheme="minorHAnsi"/>
        </w:rPr>
        <w:t xml:space="preserve">. </w:t>
      </w:r>
    </w:p>
    <w:p w14:paraId="7E532B68" w14:textId="59FCD06C" w:rsidR="002D5680" w:rsidRDefault="005952A1" w:rsidP="00341742">
      <w:pPr>
        <w:pStyle w:val="Default"/>
        <w:spacing w:before="100" w:beforeAutospacing="1" w:after="100" w:afterAutospacing="1" w:line="360" w:lineRule="auto"/>
        <w:rPr>
          <w:rFonts w:asciiTheme="minorHAnsi" w:hAnsiTheme="minorHAnsi"/>
          <w:b/>
          <w:color w:val="auto"/>
        </w:rPr>
      </w:pPr>
      <w:r>
        <w:rPr>
          <w:noProof/>
        </w:rPr>
        <w:drawing>
          <wp:anchor distT="0" distB="0" distL="114300" distR="114300" simplePos="0" relativeHeight="251658247" behindDoc="1" locked="0" layoutInCell="1" allowOverlap="1" wp14:anchorId="6CA2C1CB" wp14:editId="411D7006">
            <wp:simplePos x="0" y="0"/>
            <wp:positionH relativeFrom="column">
              <wp:posOffset>813435</wp:posOffset>
            </wp:positionH>
            <wp:positionV relativeFrom="paragraph">
              <wp:posOffset>282575</wp:posOffset>
            </wp:positionV>
            <wp:extent cx="3006090" cy="2425065"/>
            <wp:effectExtent l="0" t="0" r="3810" b="0"/>
            <wp:wrapTight wrapText="bothSides">
              <wp:wrapPolygon edited="0">
                <wp:start x="0" y="0"/>
                <wp:lineTo x="0" y="21379"/>
                <wp:lineTo x="21490" y="21379"/>
                <wp:lineTo x="21490"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6090" cy="2425065"/>
                    </a:xfrm>
                    <a:prstGeom prst="rect">
                      <a:avLst/>
                    </a:prstGeom>
                  </pic:spPr>
                </pic:pic>
              </a:graphicData>
            </a:graphic>
            <wp14:sizeRelH relativeFrom="page">
              <wp14:pctWidth>0</wp14:pctWidth>
            </wp14:sizeRelH>
            <wp14:sizeRelV relativeFrom="page">
              <wp14:pctHeight>0</wp14:pctHeight>
            </wp14:sizeRelV>
          </wp:anchor>
        </w:drawing>
      </w:r>
      <w:r w:rsidR="00341742" w:rsidRPr="00580BD2">
        <w:rPr>
          <w:rFonts w:asciiTheme="minorHAnsi" w:hAnsiTheme="minorHAnsi"/>
          <w:b/>
          <w:color w:val="auto"/>
        </w:rPr>
        <w:t>Table 1</w:t>
      </w:r>
      <w:r w:rsidR="00DA1C23">
        <w:rPr>
          <w:rFonts w:asciiTheme="minorHAnsi" w:hAnsiTheme="minorHAnsi"/>
          <w:b/>
          <w:color w:val="auto"/>
        </w:rPr>
        <w:t>.1</w:t>
      </w:r>
      <w:r w:rsidR="00341742" w:rsidRPr="00580BD2">
        <w:rPr>
          <w:rFonts w:asciiTheme="minorHAnsi" w:hAnsiTheme="minorHAnsi"/>
          <w:b/>
          <w:color w:val="auto"/>
        </w:rPr>
        <w:t xml:space="preserve">: </w:t>
      </w:r>
      <w:r w:rsidR="00381C2E">
        <w:rPr>
          <w:rFonts w:asciiTheme="minorHAnsi" w:hAnsiTheme="minorHAnsi"/>
          <w:b/>
          <w:color w:val="auto"/>
        </w:rPr>
        <w:t>Annual</w:t>
      </w:r>
      <w:r w:rsidR="00341742" w:rsidRPr="00580BD2">
        <w:rPr>
          <w:rFonts w:asciiTheme="minorHAnsi" w:hAnsiTheme="minorHAnsi"/>
          <w:b/>
          <w:color w:val="auto"/>
        </w:rPr>
        <w:t xml:space="preserve"> </w:t>
      </w:r>
      <w:r w:rsidR="00580BD2">
        <w:rPr>
          <w:rFonts w:asciiTheme="minorHAnsi" w:hAnsiTheme="minorHAnsi"/>
          <w:b/>
          <w:color w:val="auto"/>
        </w:rPr>
        <w:t>p</w:t>
      </w:r>
      <w:r w:rsidR="00341742" w:rsidRPr="00580BD2">
        <w:rPr>
          <w:rFonts w:asciiTheme="minorHAnsi" w:hAnsiTheme="minorHAnsi"/>
          <w:b/>
          <w:color w:val="auto"/>
        </w:rPr>
        <w:t xml:space="preserve">ercentage </w:t>
      </w:r>
      <w:r w:rsidR="00580BD2">
        <w:rPr>
          <w:rFonts w:asciiTheme="minorHAnsi" w:hAnsiTheme="minorHAnsi"/>
          <w:b/>
          <w:color w:val="auto"/>
        </w:rPr>
        <w:t>c</w:t>
      </w:r>
      <w:r w:rsidR="00341742" w:rsidRPr="00580BD2">
        <w:rPr>
          <w:rFonts w:asciiTheme="minorHAnsi" w:hAnsiTheme="minorHAnsi"/>
          <w:b/>
          <w:color w:val="auto"/>
        </w:rPr>
        <w:t xml:space="preserve">hange in the </w:t>
      </w:r>
      <w:r w:rsidR="00580BD2">
        <w:rPr>
          <w:rFonts w:asciiTheme="minorHAnsi" w:hAnsiTheme="minorHAnsi"/>
          <w:b/>
          <w:color w:val="auto"/>
        </w:rPr>
        <w:t>n</w:t>
      </w:r>
      <w:r w:rsidR="00341742" w:rsidRPr="00580BD2">
        <w:rPr>
          <w:rFonts w:asciiTheme="minorHAnsi" w:hAnsiTheme="minorHAnsi"/>
          <w:b/>
          <w:color w:val="auto"/>
        </w:rPr>
        <w:t xml:space="preserve">umber of </w:t>
      </w:r>
      <w:r w:rsidR="00580BD2">
        <w:rPr>
          <w:rFonts w:asciiTheme="minorHAnsi" w:hAnsiTheme="minorHAnsi"/>
          <w:b/>
          <w:color w:val="auto"/>
        </w:rPr>
        <w:t>l</w:t>
      </w:r>
      <w:r w:rsidR="00341742" w:rsidRPr="00580BD2">
        <w:rPr>
          <w:rFonts w:asciiTheme="minorHAnsi" w:hAnsiTheme="minorHAnsi"/>
          <w:b/>
          <w:color w:val="auto"/>
        </w:rPr>
        <w:t xml:space="preserve">ive </w:t>
      </w:r>
      <w:r w:rsidR="00580BD2">
        <w:rPr>
          <w:rFonts w:asciiTheme="minorHAnsi" w:hAnsiTheme="minorHAnsi"/>
          <w:b/>
          <w:color w:val="auto"/>
        </w:rPr>
        <w:t>b</w:t>
      </w:r>
      <w:r w:rsidR="00341742" w:rsidRPr="00580BD2">
        <w:rPr>
          <w:rFonts w:asciiTheme="minorHAnsi" w:hAnsiTheme="minorHAnsi"/>
          <w:b/>
          <w:color w:val="auto"/>
        </w:rPr>
        <w:t>irths, 2009-</w:t>
      </w:r>
      <w:r w:rsidR="00A76FD3">
        <w:rPr>
          <w:rFonts w:asciiTheme="minorHAnsi" w:hAnsiTheme="minorHAnsi"/>
          <w:b/>
          <w:color w:val="auto"/>
        </w:rPr>
        <w:t>20</w:t>
      </w:r>
    </w:p>
    <w:p w14:paraId="605852A6" w14:textId="67F8A83C" w:rsidR="002D5680" w:rsidRDefault="002D5680" w:rsidP="00341742">
      <w:pPr>
        <w:pStyle w:val="Default"/>
        <w:spacing w:before="100" w:beforeAutospacing="1" w:after="100" w:afterAutospacing="1" w:line="360" w:lineRule="auto"/>
        <w:rPr>
          <w:rFonts w:asciiTheme="minorHAnsi" w:hAnsiTheme="minorHAnsi"/>
          <w:b/>
          <w:color w:val="auto"/>
        </w:rPr>
      </w:pPr>
    </w:p>
    <w:p w14:paraId="495AF5E4" w14:textId="0E8CFE02" w:rsidR="002D5680" w:rsidRDefault="002D5680" w:rsidP="00341742">
      <w:pPr>
        <w:pStyle w:val="Default"/>
        <w:spacing w:before="100" w:beforeAutospacing="1" w:after="100" w:afterAutospacing="1" w:line="360" w:lineRule="auto"/>
        <w:rPr>
          <w:rFonts w:asciiTheme="minorHAnsi" w:hAnsiTheme="minorHAnsi"/>
          <w:b/>
          <w:color w:val="auto"/>
        </w:rPr>
      </w:pPr>
    </w:p>
    <w:p w14:paraId="51F95470" w14:textId="6E63C124" w:rsidR="002D5680" w:rsidRDefault="002D5680" w:rsidP="00341742">
      <w:pPr>
        <w:pStyle w:val="Default"/>
        <w:spacing w:before="100" w:beforeAutospacing="1" w:after="100" w:afterAutospacing="1" w:line="360" w:lineRule="auto"/>
        <w:rPr>
          <w:rFonts w:asciiTheme="minorHAnsi" w:hAnsiTheme="minorHAnsi"/>
          <w:b/>
          <w:color w:val="auto"/>
        </w:rPr>
      </w:pPr>
    </w:p>
    <w:p w14:paraId="03F5636A" w14:textId="77777777" w:rsidR="002D5680" w:rsidRPr="00580BD2" w:rsidRDefault="002D5680" w:rsidP="00341742">
      <w:pPr>
        <w:pStyle w:val="Default"/>
        <w:spacing w:before="100" w:beforeAutospacing="1" w:after="100" w:afterAutospacing="1" w:line="360" w:lineRule="auto"/>
        <w:rPr>
          <w:rFonts w:asciiTheme="minorHAnsi" w:hAnsiTheme="minorHAnsi"/>
          <w:b/>
          <w:color w:val="auto"/>
        </w:rPr>
      </w:pPr>
    </w:p>
    <w:p w14:paraId="6B1CBC18" w14:textId="77777777" w:rsidR="005952A1" w:rsidRDefault="005952A1" w:rsidP="005952A1">
      <w:pPr>
        <w:spacing w:after="0" w:line="240" w:lineRule="auto"/>
        <w:rPr>
          <w:rFonts w:ascii="Calibri" w:eastAsia="Times New Roman" w:hAnsi="Calibri" w:cs="Calibri"/>
          <w:color w:val="000000"/>
          <w:sz w:val="22"/>
          <w:szCs w:val="22"/>
          <w:lang w:eastAsia="en-GB"/>
        </w:rPr>
      </w:pPr>
    </w:p>
    <w:p w14:paraId="76071E3F" w14:textId="77777777" w:rsidR="005952A1" w:rsidRDefault="005952A1" w:rsidP="005952A1">
      <w:pPr>
        <w:spacing w:after="0" w:line="240" w:lineRule="auto"/>
        <w:rPr>
          <w:rFonts w:ascii="Calibri" w:eastAsia="Times New Roman" w:hAnsi="Calibri" w:cs="Calibri"/>
          <w:color w:val="000000"/>
          <w:sz w:val="22"/>
          <w:szCs w:val="22"/>
          <w:lang w:eastAsia="en-GB"/>
        </w:rPr>
      </w:pPr>
    </w:p>
    <w:p w14:paraId="14F3881B" w14:textId="77777777" w:rsidR="005952A1" w:rsidRDefault="005952A1" w:rsidP="005952A1">
      <w:pPr>
        <w:spacing w:after="0" w:line="240" w:lineRule="auto"/>
        <w:rPr>
          <w:rFonts w:ascii="Calibri" w:eastAsia="Times New Roman" w:hAnsi="Calibri" w:cs="Calibri"/>
          <w:color w:val="000000"/>
          <w:sz w:val="22"/>
          <w:szCs w:val="22"/>
          <w:lang w:eastAsia="en-GB"/>
        </w:rPr>
      </w:pPr>
    </w:p>
    <w:bookmarkEnd w:id="2"/>
    <w:p w14:paraId="66E36EE7" w14:textId="77777777" w:rsidR="00441D7D" w:rsidRDefault="005952A1" w:rsidP="00441D7D">
      <w:pPr>
        <w:spacing w:after="0" w:line="240" w:lineRule="auto"/>
        <w:rPr>
          <w:rFonts w:ascii="Calibri" w:eastAsia="Times New Roman" w:hAnsi="Calibri" w:cs="Calibri"/>
          <w:color w:val="000000"/>
          <w:sz w:val="22"/>
          <w:szCs w:val="22"/>
          <w:lang w:eastAsia="en-GB"/>
        </w:rPr>
      </w:pPr>
      <w:r w:rsidRPr="005952A1">
        <w:rPr>
          <w:rFonts w:ascii="Calibri" w:eastAsia="Times New Roman" w:hAnsi="Calibri" w:cs="Calibri"/>
          <w:color w:val="000000"/>
          <w:sz w:val="22"/>
          <w:szCs w:val="22"/>
          <w:lang w:eastAsia="en-GB"/>
        </w:rPr>
        <w:t>Source: Office for National Statistics</w:t>
      </w:r>
    </w:p>
    <w:p w14:paraId="1745FE8D" w14:textId="05A6B110" w:rsidR="00341742" w:rsidRPr="00580BD2" w:rsidRDefault="00341742" w:rsidP="00441D7D">
      <w:pPr>
        <w:spacing w:after="0" w:line="240" w:lineRule="auto"/>
      </w:pPr>
      <w:r w:rsidRPr="00580BD2">
        <w:t xml:space="preserve">Figure </w:t>
      </w:r>
      <w:r w:rsidR="00A60067">
        <w:t>1.</w:t>
      </w:r>
      <w:r w:rsidR="00AD1B98">
        <w:t>5</w:t>
      </w:r>
      <w:r w:rsidRPr="00580BD2">
        <w:t xml:space="preserve"> shows the percentage change between 202</w:t>
      </w:r>
      <w:r w:rsidR="007E10A2">
        <w:t>0</w:t>
      </w:r>
      <w:r w:rsidRPr="00580BD2">
        <w:t xml:space="preserve"> and 2041, based on live birth projections. This shows a predicted increase in live births for </w:t>
      </w:r>
      <w:r w:rsidR="007E10A2">
        <w:t xml:space="preserve">the </w:t>
      </w:r>
      <w:r w:rsidRPr="00580BD2">
        <w:t xml:space="preserve">West Midlands (Met County) </w:t>
      </w:r>
      <w:r w:rsidR="007E10A2">
        <w:t xml:space="preserve">and Sandwell </w:t>
      </w:r>
      <w:r w:rsidRPr="00580BD2">
        <w:t>from 20</w:t>
      </w:r>
      <w:r w:rsidR="0059369E">
        <w:t>29 – around 3 years before there is an increase nationally</w:t>
      </w:r>
      <w:r w:rsidRPr="00580BD2">
        <w:t>. It is important that we recognise th</w:t>
      </w:r>
      <w:r w:rsidR="00C4758D">
        <w:t>e</w:t>
      </w:r>
      <w:r w:rsidRPr="00580BD2">
        <w:t>s</w:t>
      </w:r>
      <w:r w:rsidR="00C4758D">
        <w:t>e</w:t>
      </w:r>
      <w:r w:rsidRPr="00580BD2">
        <w:t xml:space="preserve"> changes to plan maternity and child services to meet anticipated needs. </w:t>
      </w:r>
    </w:p>
    <w:p w14:paraId="734332BF" w14:textId="780B6ED5" w:rsidR="00341742" w:rsidRDefault="00341742" w:rsidP="00341742">
      <w:pPr>
        <w:pStyle w:val="Default"/>
        <w:spacing w:before="100" w:beforeAutospacing="1" w:after="100" w:afterAutospacing="1" w:line="360" w:lineRule="auto"/>
        <w:rPr>
          <w:rFonts w:asciiTheme="minorHAnsi" w:hAnsiTheme="minorHAnsi"/>
          <w:b/>
          <w:color w:val="auto"/>
        </w:rPr>
      </w:pPr>
      <w:r w:rsidRPr="00580BD2">
        <w:rPr>
          <w:rFonts w:asciiTheme="minorHAnsi" w:hAnsiTheme="minorHAnsi"/>
          <w:b/>
          <w:color w:val="auto"/>
        </w:rPr>
        <w:t xml:space="preserve">Figure </w:t>
      </w:r>
      <w:r w:rsidR="00DA1C23">
        <w:rPr>
          <w:rFonts w:asciiTheme="minorHAnsi" w:hAnsiTheme="minorHAnsi"/>
          <w:b/>
          <w:color w:val="auto"/>
        </w:rPr>
        <w:t>1.</w:t>
      </w:r>
      <w:r w:rsidR="00AD1B98">
        <w:rPr>
          <w:rFonts w:asciiTheme="minorHAnsi" w:hAnsiTheme="minorHAnsi"/>
          <w:b/>
          <w:color w:val="auto"/>
        </w:rPr>
        <w:t>5</w:t>
      </w:r>
      <w:r w:rsidRPr="00580BD2">
        <w:rPr>
          <w:rFonts w:asciiTheme="minorHAnsi" w:hAnsiTheme="minorHAnsi"/>
          <w:b/>
          <w:color w:val="auto"/>
        </w:rPr>
        <w:t xml:space="preserve">: Projected </w:t>
      </w:r>
      <w:r w:rsidR="00C4758D">
        <w:rPr>
          <w:rFonts w:asciiTheme="minorHAnsi" w:hAnsiTheme="minorHAnsi"/>
          <w:b/>
          <w:color w:val="auto"/>
        </w:rPr>
        <w:t>annual</w:t>
      </w:r>
      <w:r w:rsidRPr="00580BD2">
        <w:rPr>
          <w:rFonts w:asciiTheme="minorHAnsi" w:hAnsiTheme="minorHAnsi"/>
          <w:b/>
          <w:color w:val="auto"/>
        </w:rPr>
        <w:t xml:space="preserve"> </w:t>
      </w:r>
      <w:r w:rsidR="00C4758D">
        <w:rPr>
          <w:rFonts w:asciiTheme="minorHAnsi" w:hAnsiTheme="minorHAnsi"/>
          <w:b/>
          <w:color w:val="auto"/>
        </w:rPr>
        <w:t>p</w:t>
      </w:r>
      <w:r w:rsidRPr="00580BD2">
        <w:rPr>
          <w:rFonts w:asciiTheme="minorHAnsi" w:hAnsiTheme="minorHAnsi"/>
          <w:b/>
          <w:color w:val="auto"/>
        </w:rPr>
        <w:t xml:space="preserve">ercentage </w:t>
      </w:r>
      <w:r w:rsidR="00C4758D">
        <w:rPr>
          <w:rFonts w:asciiTheme="minorHAnsi" w:hAnsiTheme="minorHAnsi"/>
          <w:b/>
          <w:color w:val="auto"/>
        </w:rPr>
        <w:t>c</w:t>
      </w:r>
      <w:r w:rsidRPr="00580BD2">
        <w:rPr>
          <w:rFonts w:asciiTheme="minorHAnsi" w:hAnsiTheme="minorHAnsi"/>
          <w:b/>
          <w:color w:val="auto"/>
        </w:rPr>
        <w:t xml:space="preserve">hange in </w:t>
      </w:r>
      <w:r w:rsidR="00C4758D">
        <w:rPr>
          <w:rFonts w:asciiTheme="minorHAnsi" w:hAnsiTheme="minorHAnsi"/>
          <w:b/>
          <w:color w:val="auto"/>
        </w:rPr>
        <w:t>n</w:t>
      </w:r>
      <w:r w:rsidRPr="00580BD2">
        <w:rPr>
          <w:rFonts w:asciiTheme="minorHAnsi" w:hAnsiTheme="minorHAnsi"/>
          <w:b/>
          <w:color w:val="auto"/>
        </w:rPr>
        <w:t xml:space="preserve">umber of </w:t>
      </w:r>
      <w:r w:rsidR="00C4758D">
        <w:rPr>
          <w:rFonts w:asciiTheme="minorHAnsi" w:hAnsiTheme="minorHAnsi"/>
          <w:b/>
          <w:color w:val="auto"/>
        </w:rPr>
        <w:t>l</w:t>
      </w:r>
      <w:r w:rsidRPr="00580BD2">
        <w:rPr>
          <w:rFonts w:asciiTheme="minorHAnsi" w:hAnsiTheme="minorHAnsi"/>
          <w:b/>
          <w:color w:val="auto"/>
        </w:rPr>
        <w:t>ive births (202</w:t>
      </w:r>
      <w:r w:rsidR="007E10A2">
        <w:rPr>
          <w:rFonts w:asciiTheme="minorHAnsi" w:hAnsiTheme="minorHAnsi"/>
          <w:b/>
          <w:color w:val="auto"/>
        </w:rPr>
        <w:t>0</w:t>
      </w:r>
      <w:r w:rsidRPr="00580BD2">
        <w:rPr>
          <w:rFonts w:asciiTheme="minorHAnsi" w:hAnsiTheme="minorHAnsi"/>
          <w:b/>
          <w:color w:val="auto"/>
        </w:rPr>
        <w:t>-2041)</w:t>
      </w:r>
    </w:p>
    <w:p w14:paraId="73FECD2F" w14:textId="29700C8B" w:rsidR="00341742" w:rsidRPr="007E10A2" w:rsidRDefault="007E10A2" w:rsidP="00341742">
      <w:pPr>
        <w:pStyle w:val="Default"/>
        <w:spacing w:before="100" w:beforeAutospacing="1" w:after="100" w:afterAutospacing="1" w:line="360" w:lineRule="auto"/>
        <w:rPr>
          <w:rFonts w:asciiTheme="minorHAnsi" w:hAnsiTheme="minorHAnsi"/>
          <w:b/>
          <w:color w:val="auto"/>
        </w:rPr>
      </w:pPr>
      <w:r>
        <w:rPr>
          <w:noProof/>
        </w:rPr>
        <w:drawing>
          <wp:inline distT="0" distB="0" distL="0" distR="0" wp14:anchorId="52EE09BA" wp14:editId="64DF51C5">
            <wp:extent cx="5353050" cy="3397250"/>
            <wp:effectExtent l="0" t="0" r="0" b="12700"/>
            <wp:docPr id="198" name="Chart 198">
              <a:extLst xmlns:a="http://schemas.openxmlformats.org/drawingml/2006/main">
                <a:ext uri="{FF2B5EF4-FFF2-40B4-BE49-F238E27FC236}">
                  <a16:creationId xmlns:a16="http://schemas.microsoft.com/office/drawing/2014/main" id="{37CEB04F-6F4B-4DBD-BFD8-9B4D53207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41742" w:rsidRPr="00580BD2">
        <w:rPr>
          <w:rFonts w:asciiTheme="minorHAnsi" w:hAnsiTheme="minorHAnsi"/>
          <w:color w:val="auto"/>
        </w:rPr>
        <w:t>Source: Office for National Statistics</w:t>
      </w:r>
    </w:p>
    <w:p w14:paraId="3BBA3450" w14:textId="77777777" w:rsidR="007E10A2" w:rsidRDefault="007E10A2" w:rsidP="005B1F6D">
      <w:pPr>
        <w:pStyle w:val="Heading2"/>
      </w:pPr>
    </w:p>
    <w:p w14:paraId="04658572" w14:textId="5AA309C2" w:rsidR="00AC7959" w:rsidRDefault="002A318C" w:rsidP="005B1F6D">
      <w:pPr>
        <w:pStyle w:val="Heading2"/>
      </w:pPr>
      <w:r w:rsidRPr="00200EA8">
        <w:t>Maternal age</w:t>
      </w:r>
    </w:p>
    <w:p w14:paraId="1B505C71" w14:textId="1119D110" w:rsidR="00542EC9" w:rsidRDefault="00AC7959" w:rsidP="00542EC9">
      <w:pPr>
        <w:spacing w:after="0" w:line="240" w:lineRule="auto"/>
        <w:rPr>
          <w:sz w:val="24"/>
          <w:szCs w:val="24"/>
        </w:rPr>
      </w:pPr>
      <w:r w:rsidRPr="00542EC9">
        <w:rPr>
          <w:rFonts w:eastAsia="Times New Roman" w:cstheme="minorHAnsi"/>
          <w:sz w:val="24"/>
          <w:szCs w:val="24"/>
          <w:lang w:eastAsia="en-GB"/>
        </w:rPr>
        <w:t>Pregnancy can be complicated at both extremes of maternal age.</w:t>
      </w:r>
      <w:r w:rsidR="00542EC9">
        <w:rPr>
          <w:rFonts w:eastAsia="Times New Roman" w:cstheme="minorHAnsi"/>
          <w:sz w:val="24"/>
          <w:szCs w:val="24"/>
          <w:lang w:eastAsia="en-GB"/>
        </w:rPr>
        <w:t xml:space="preserve"> </w:t>
      </w:r>
      <w:r w:rsidRPr="00542EC9">
        <w:rPr>
          <w:sz w:val="24"/>
          <w:szCs w:val="24"/>
        </w:rPr>
        <w:t>Complications associated with older maternal age include: ectopic pregnancy, gestational trophoblast disease, pre-eclampsia, gestational diabetes, myocardial infarction, cerebrovascular accidents, antepartum and postpartum haemorrhage, increased numbers of operative vaginal deliveries and caesarean sections, venous thromboembolism, increased stillbirth risk.  For the foetus there are the following risks: greater risk of Downs syndrome, Intra uterine growth restriction (IUGR) and prematurity.</w:t>
      </w:r>
    </w:p>
    <w:p w14:paraId="2675FDE6" w14:textId="179A250B" w:rsidR="00E41513" w:rsidRDefault="00E41513" w:rsidP="00542EC9">
      <w:pPr>
        <w:spacing w:after="0" w:line="240" w:lineRule="auto"/>
        <w:rPr>
          <w:sz w:val="24"/>
          <w:szCs w:val="24"/>
        </w:rPr>
      </w:pPr>
    </w:p>
    <w:p w14:paraId="0F8BCB39" w14:textId="01001457" w:rsidR="00E41513" w:rsidRPr="00E41513" w:rsidRDefault="00E41513" w:rsidP="00542EC9">
      <w:pPr>
        <w:spacing w:after="0" w:line="240" w:lineRule="auto"/>
        <w:rPr>
          <w:sz w:val="24"/>
          <w:szCs w:val="24"/>
        </w:rPr>
      </w:pPr>
      <w:r w:rsidRPr="00E41513">
        <w:rPr>
          <w:rFonts w:cstheme="majorHAnsi"/>
          <w:color w:val="333333"/>
          <w:sz w:val="24"/>
          <w:szCs w:val="24"/>
          <w:shd w:val="clear" w:color="auto" w:fill="FFFFFF"/>
        </w:rPr>
        <w:t>Children born to teenage mothers have 60% higher rates of infant mortality and are at increased risk of low birthweight which impacts on the child's long-term health. Teenage mothers are three times more likely to suffer from post-natal depression and experience poor mental health for up to three years after the birth. Teenage parents and their children are at increased risk of living in poverty (Public Heath England).</w:t>
      </w:r>
    </w:p>
    <w:p w14:paraId="2D9B0EDB" w14:textId="19695415" w:rsidR="00542EC9" w:rsidRDefault="00542EC9" w:rsidP="00E41513">
      <w:pPr>
        <w:spacing w:after="0" w:line="240" w:lineRule="auto"/>
        <w:rPr>
          <w:rFonts w:cstheme="minorHAnsi"/>
          <w:sz w:val="24"/>
          <w:szCs w:val="24"/>
        </w:rPr>
      </w:pPr>
      <w:r w:rsidRPr="00542EC9">
        <w:rPr>
          <w:rFonts w:cstheme="minorHAnsi"/>
          <w:sz w:val="24"/>
          <w:szCs w:val="24"/>
        </w:rPr>
        <w:t xml:space="preserve">Young pregnant woman (aged under 20 years) may feel uncomfortable using antenatal services which are mainly used by older age groups. They may have difficulty getting to and from antenatal appointments and may be reluctant to recognise their pregnancy due to fear of parental reactions.  </w:t>
      </w:r>
    </w:p>
    <w:p w14:paraId="50001669" w14:textId="74D8410D" w:rsidR="002A318C" w:rsidRPr="00580BD2" w:rsidRDefault="002A318C" w:rsidP="00200EA8">
      <w:pPr>
        <w:autoSpaceDE w:val="0"/>
        <w:autoSpaceDN w:val="0"/>
        <w:adjustRightInd w:val="0"/>
        <w:spacing w:before="100" w:beforeAutospacing="1" w:after="100" w:afterAutospacing="1" w:line="240" w:lineRule="auto"/>
        <w:rPr>
          <w:rFonts w:eastAsia="Times New Roman" w:cs="Arial"/>
          <w:sz w:val="24"/>
          <w:szCs w:val="24"/>
          <w:lang w:eastAsia="en-GB"/>
        </w:rPr>
      </w:pPr>
      <w:r w:rsidRPr="00580BD2">
        <w:rPr>
          <w:rFonts w:cs="Arial"/>
          <w:sz w:val="24"/>
          <w:szCs w:val="24"/>
        </w:rPr>
        <w:t xml:space="preserve">Table </w:t>
      </w:r>
      <w:r w:rsidR="00AD1B98">
        <w:rPr>
          <w:rFonts w:cs="Arial"/>
          <w:sz w:val="24"/>
          <w:szCs w:val="24"/>
        </w:rPr>
        <w:t>1.</w:t>
      </w:r>
      <w:r w:rsidRPr="00580BD2">
        <w:rPr>
          <w:rFonts w:cs="Arial"/>
          <w:sz w:val="24"/>
          <w:szCs w:val="24"/>
        </w:rPr>
        <w:t>2 shows the percentage of live births by maternal age from 2012 to 20</w:t>
      </w:r>
      <w:r w:rsidR="008341CF">
        <w:rPr>
          <w:rFonts w:cs="Arial"/>
          <w:sz w:val="24"/>
          <w:szCs w:val="24"/>
        </w:rPr>
        <w:t>20</w:t>
      </w:r>
      <w:r w:rsidRPr="00580BD2">
        <w:rPr>
          <w:rFonts w:cs="Arial"/>
          <w:sz w:val="24"/>
          <w:szCs w:val="24"/>
        </w:rPr>
        <w:t xml:space="preserve">. </w:t>
      </w:r>
      <w:r w:rsidRPr="00580BD2">
        <w:rPr>
          <w:rFonts w:eastAsia="Times New Roman" w:cs="Arial"/>
          <w:sz w:val="24"/>
          <w:szCs w:val="24"/>
          <w:lang w:eastAsia="en-GB"/>
        </w:rPr>
        <w:t xml:space="preserve">In Sandwell, the highest proportion of live births between 2012 and </w:t>
      </w:r>
      <w:r w:rsidR="008341CF">
        <w:rPr>
          <w:rFonts w:eastAsia="Times New Roman" w:cs="Arial"/>
          <w:sz w:val="24"/>
          <w:szCs w:val="24"/>
          <w:lang w:eastAsia="en-GB"/>
        </w:rPr>
        <w:t>2020</w:t>
      </w:r>
      <w:r w:rsidRPr="00580BD2">
        <w:rPr>
          <w:rFonts w:eastAsia="Times New Roman" w:cs="Arial"/>
          <w:sz w:val="24"/>
          <w:szCs w:val="24"/>
          <w:lang w:eastAsia="en-GB"/>
        </w:rPr>
        <w:t xml:space="preserve"> were women aged 25-29 </w:t>
      </w:r>
      <w:r w:rsidR="008341CF">
        <w:rPr>
          <w:rFonts w:eastAsia="Times New Roman" w:cs="Arial"/>
          <w:sz w:val="24"/>
          <w:szCs w:val="24"/>
          <w:lang w:eastAsia="en-GB"/>
        </w:rPr>
        <w:t>except</w:t>
      </w:r>
      <w:r w:rsidRPr="00580BD2">
        <w:rPr>
          <w:rFonts w:eastAsia="Times New Roman" w:cs="Arial"/>
          <w:sz w:val="24"/>
          <w:szCs w:val="24"/>
          <w:lang w:eastAsia="en-GB"/>
        </w:rPr>
        <w:t xml:space="preserve"> in </w:t>
      </w:r>
      <w:r w:rsidR="008341CF">
        <w:rPr>
          <w:rFonts w:eastAsia="Times New Roman" w:cs="Arial"/>
          <w:sz w:val="24"/>
          <w:szCs w:val="24"/>
          <w:lang w:eastAsia="en-GB"/>
        </w:rPr>
        <w:t>the years 2019-2021 when births were higher among women aged 30-34</w:t>
      </w:r>
      <w:r w:rsidRPr="00580BD2">
        <w:rPr>
          <w:rFonts w:eastAsia="Times New Roman" w:cs="Arial"/>
          <w:sz w:val="24"/>
          <w:szCs w:val="24"/>
          <w:lang w:eastAsia="en-GB"/>
        </w:rPr>
        <w:t xml:space="preserve">. The proportion of live births to women under the age of 20 has steadily declined from 6.1% in 2012 to </w:t>
      </w:r>
      <w:r w:rsidR="008341CF">
        <w:rPr>
          <w:rFonts w:eastAsia="Times New Roman" w:cs="Arial"/>
          <w:sz w:val="24"/>
          <w:szCs w:val="24"/>
          <w:lang w:eastAsia="en-GB"/>
        </w:rPr>
        <w:t>2.6</w:t>
      </w:r>
      <w:r w:rsidRPr="00580BD2">
        <w:rPr>
          <w:rFonts w:eastAsia="Times New Roman" w:cs="Arial"/>
          <w:sz w:val="24"/>
          <w:szCs w:val="24"/>
          <w:lang w:eastAsia="en-GB"/>
        </w:rPr>
        <w:t xml:space="preserve">% in </w:t>
      </w:r>
      <w:r w:rsidR="008341CF">
        <w:rPr>
          <w:rFonts w:eastAsia="Times New Roman" w:cs="Arial"/>
          <w:sz w:val="24"/>
          <w:szCs w:val="24"/>
          <w:lang w:eastAsia="en-GB"/>
        </w:rPr>
        <w:t>2020</w:t>
      </w:r>
      <w:r w:rsidRPr="00580BD2">
        <w:rPr>
          <w:rFonts w:eastAsia="Times New Roman" w:cs="Arial"/>
          <w:sz w:val="24"/>
          <w:szCs w:val="24"/>
          <w:lang w:eastAsia="en-GB"/>
        </w:rPr>
        <w:t xml:space="preserve">. The proportion of live births to mothers aged 35 to 39 had increased over this period from 10.7% percentage of Live births in 2012 to </w:t>
      </w:r>
      <w:r w:rsidR="008341CF">
        <w:rPr>
          <w:rFonts w:eastAsia="Times New Roman" w:cs="Arial"/>
          <w:sz w:val="24"/>
          <w:szCs w:val="24"/>
          <w:lang w:eastAsia="en-GB"/>
        </w:rPr>
        <w:t>16.5</w:t>
      </w:r>
      <w:r w:rsidRPr="00580BD2">
        <w:rPr>
          <w:rFonts w:eastAsia="Times New Roman" w:cs="Arial"/>
          <w:sz w:val="24"/>
          <w:szCs w:val="24"/>
          <w:lang w:eastAsia="en-GB"/>
        </w:rPr>
        <w:t xml:space="preserve">% in </w:t>
      </w:r>
      <w:r w:rsidR="008341CF">
        <w:rPr>
          <w:rFonts w:eastAsia="Times New Roman" w:cs="Arial"/>
          <w:sz w:val="24"/>
          <w:szCs w:val="24"/>
          <w:lang w:eastAsia="en-GB"/>
        </w:rPr>
        <w:t>2020</w:t>
      </w:r>
      <w:r w:rsidRPr="00580BD2">
        <w:rPr>
          <w:rFonts w:eastAsia="Times New Roman" w:cs="Arial"/>
          <w:sz w:val="24"/>
          <w:szCs w:val="24"/>
          <w:lang w:eastAsia="en-GB"/>
        </w:rPr>
        <w:t xml:space="preserve">. The live births in mothers older than 45 have remained static over time. </w:t>
      </w:r>
    </w:p>
    <w:p w14:paraId="53455BAC" w14:textId="77777777" w:rsidR="00AD1B98" w:rsidRDefault="00AD1B98" w:rsidP="002A318C">
      <w:pPr>
        <w:autoSpaceDE w:val="0"/>
        <w:autoSpaceDN w:val="0"/>
        <w:adjustRightInd w:val="0"/>
        <w:spacing w:before="100" w:beforeAutospacing="1" w:after="100" w:afterAutospacing="1" w:line="240" w:lineRule="auto"/>
        <w:rPr>
          <w:rFonts w:cs="Arial"/>
          <w:b/>
          <w:sz w:val="24"/>
          <w:szCs w:val="24"/>
        </w:rPr>
      </w:pPr>
    </w:p>
    <w:p w14:paraId="2E68A093" w14:textId="6201740E" w:rsidR="002A318C" w:rsidRPr="00CA1E7B" w:rsidRDefault="002A318C" w:rsidP="002A318C">
      <w:pPr>
        <w:autoSpaceDE w:val="0"/>
        <w:autoSpaceDN w:val="0"/>
        <w:adjustRightInd w:val="0"/>
        <w:spacing w:before="100" w:beforeAutospacing="1" w:after="100" w:afterAutospacing="1" w:line="240" w:lineRule="auto"/>
        <w:rPr>
          <w:rFonts w:eastAsia="Times New Roman" w:cs="Arial"/>
          <w:b/>
          <w:sz w:val="24"/>
          <w:szCs w:val="24"/>
          <w:lang w:eastAsia="en-GB"/>
        </w:rPr>
      </w:pPr>
      <w:r w:rsidRPr="004E4939">
        <w:rPr>
          <w:rFonts w:cs="Arial"/>
          <w:b/>
          <w:sz w:val="24"/>
          <w:szCs w:val="24"/>
        </w:rPr>
        <w:t xml:space="preserve">Table </w:t>
      </w:r>
      <w:r w:rsidR="00DA1C23" w:rsidRPr="004E4939">
        <w:rPr>
          <w:rFonts w:cs="Arial"/>
          <w:b/>
          <w:sz w:val="24"/>
          <w:szCs w:val="24"/>
        </w:rPr>
        <w:t>1.</w:t>
      </w:r>
      <w:r w:rsidRPr="004E4939">
        <w:rPr>
          <w:rFonts w:cs="Arial"/>
          <w:b/>
          <w:sz w:val="24"/>
          <w:szCs w:val="24"/>
        </w:rPr>
        <w:t xml:space="preserve">2: Percentage of live births </w:t>
      </w:r>
      <w:r w:rsidR="00A94EF4" w:rsidRPr="004E4939">
        <w:rPr>
          <w:rFonts w:cs="Arial"/>
          <w:b/>
          <w:sz w:val="24"/>
          <w:szCs w:val="24"/>
        </w:rPr>
        <w:t>by</w:t>
      </w:r>
      <w:r w:rsidRPr="004E4939">
        <w:rPr>
          <w:rFonts w:cs="Arial"/>
          <w:b/>
          <w:sz w:val="24"/>
          <w:szCs w:val="24"/>
        </w:rPr>
        <w:t xml:space="preserve"> maternal age group 2012-</w:t>
      </w:r>
      <w:r w:rsidR="00B32571" w:rsidRPr="004E4939">
        <w:rPr>
          <w:rFonts w:cs="Arial"/>
          <w:b/>
          <w:sz w:val="24"/>
          <w:szCs w:val="24"/>
        </w:rPr>
        <w:t>202</w:t>
      </w:r>
      <w:r w:rsidR="00E209AD">
        <w:rPr>
          <w:rFonts w:cs="Arial"/>
          <w:b/>
          <w:sz w:val="24"/>
          <w:szCs w:val="24"/>
        </w:rPr>
        <w:t>1</w:t>
      </w:r>
      <w:r w:rsidRPr="004E4939">
        <w:rPr>
          <w:rFonts w:cs="Arial"/>
          <w:b/>
          <w:sz w:val="24"/>
          <w:szCs w:val="24"/>
        </w:rPr>
        <w:t xml:space="preserve"> in Sandwell</w:t>
      </w:r>
      <w:r w:rsidRPr="00CA1E7B">
        <w:rPr>
          <w:rFonts w:cs="Arial"/>
          <w:b/>
          <w:sz w:val="24"/>
          <w:szCs w:val="24"/>
        </w:rPr>
        <w:t xml:space="preserve">  </w:t>
      </w:r>
    </w:p>
    <w:p w14:paraId="15D47D87" w14:textId="0D9100CA" w:rsidR="004E4939" w:rsidRDefault="004E4939" w:rsidP="002A318C">
      <w:pPr>
        <w:pStyle w:val="Default"/>
        <w:spacing w:before="100" w:beforeAutospacing="1" w:after="100" w:afterAutospacing="1"/>
        <w:rPr>
          <w:rFonts w:asciiTheme="minorHAnsi" w:hAnsiTheme="minorHAnsi"/>
          <w:color w:val="auto"/>
        </w:rPr>
      </w:pPr>
      <w:r>
        <w:rPr>
          <w:noProof/>
        </w:rPr>
        <w:drawing>
          <wp:inline distT="0" distB="0" distL="0" distR="0" wp14:anchorId="0ED80E11" wp14:editId="211513BC">
            <wp:extent cx="5731510" cy="2251710"/>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251710"/>
                    </a:xfrm>
                    <a:prstGeom prst="rect">
                      <a:avLst/>
                    </a:prstGeom>
                  </pic:spPr>
                </pic:pic>
              </a:graphicData>
            </a:graphic>
          </wp:inline>
        </w:drawing>
      </w:r>
    </w:p>
    <w:p w14:paraId="5E14D772" w14:textId="44594B7A" w:rsidR="002A318C" w:rsidRPr="00580BD2" w:rsidRDefault="002A318C" w:rsidP="002A318C">
      <w:pPr>
        <w:pStyle w:val="Default"/>
        <w:spacing w:before="100" w:beforeAutospacing="1" w:after="100" w:afterAutospacing="1"/>
        <w:rPr>
          <w:rFonts w:asciiTheme="minorHAnsi" w:hAnsiTheme="minorHAnsi"/>
          <w:color w:val="auto"/>
        </w:rPr>
      </w:pPr>
      <w:r w:rsidRPr="00580BD2">
        <w:rPr>
          <w:rFonts w:asciiTheme="minorHAnsi" w:hAnsiTheme="minorHAnsi"/>
          <w:color w:val="auto"/>
        </w:rPr>
        <w:t>Source: Office for National Statistics</w:t>
      </w:r>
    </w:p>
    <w:p w14:paraId="71D9FEC9" w14:textId="77777777" w:rsidR="00542EC9" w:rsidRDefault="00542EC9" w:rsidP="00152112">
      <w:pPr>
        <w:pStyle w:val="Heading3"/>
      </w:pPr>
    </w:p>
    <w:p w14:paraId="64AAC8F0" w14:textId="44D9C7FD" w:rsidR="00B3562C" w:rsidRPr="00580BD2" w:rsidRDefault="00B3562C" w:rsidP="00152112">
      <w:pPr>
        <w:pStyle w:val="Heading3"/>
      </w:pPr>
      <w:r w:rsidRPr="00580BD2">
        <w:t>Teenage Mothers</w:t>
      </w:r>
    </w:p>
    <w:p w14:paraId="06EB8F82" w14:textId="3C54DDD8" w:rsidR="00B3562C" w:rsidRDefault="00B3562C" w:rsidP="00B3562C">
      <w:pPr>
        <w:pStyle w:val="NormalWeb"/>
        <w:spacing w:before="45" w:beforeAutospacing="0" w:after="45" w:afterAutospacing="0"/>
        <w:rPr>
          <w:rFonts w:asciiTheme="minorHAnsi" w:hAnsiTheme="minorHAnsi" w:cstheme="majorHAnsi"/>
          <w:color w:val="333333"/>
        </w:rPr>
      </w:pPr>
      <w:r w:rsidRPr="00580BD2">
        <w:rPr>
          <w:rFonts w:asciiTheme="minorHAnsi" w:hAnsiTheme="minorHAnsi" w:cstheme="majorHAnsi"/>
          <w:color w:val="333333"/>
        </w:rPr>
        <w:t>Percentage of delivery episodes, where the mother is aged under 18 years.</w:t>
      </w:r>
    </w:p>
    <w:p w14:paraId="1ECF8C1A" w14:textId="77777777" w:rsidR="00E41513" w:rsidRPr="00580BD2" w:rsidRDefault="00E41513" w:rsidP="00B3562C">
      <w:pPr>
        <w:pStyle w:val="NormalWeb"/>
        <w:spacing w:before="45" w:beforeAutospacing="0" w:after="45" w:afterAutospacing="0"/>
        <w:rPr>
          <w:rFonts w:asciiTheme="minorHAnsi" w:hAnsiTheme="minorHAnsi" w:cstheme="majorHAnsi"/>
          <w:color w:val="333333"/>
        </w:rPr>
      </w:pPr>
    </w:p>
    <w:p w14:paraId="5C1BB844" w14:textId="396760A3" w:rsidR="00B3562C" w:rsidRDefault="00EA4EF1" w:rsidP="00B3562C">
      <w:pPr>
        <w:pStyle w:val="ListParagraph"/>
        <w:numPr>
          <w:ilvl w:val="0"/>
          <w:numId w:val="3"/>
        </w:numPr>
        <w:rPr>
          <w:rFonts w:cstheme="majorHAnsi"/>
          <w:sz w:val="24"/>
          <w:szCs w:val="24"/>
        </w:rPr>
      </w:pPr>
      <w:r>
        <w:rPr>
          <w:rFonts w:cstheme="majorHAnsi"/>
          <w:sz w:val="24"/>
          <w:szCs w:val="24"/>
        </w:rPr>
        <w:t xml:space="preserve">In </w:t>
      </w:r>
      <w:r w:rsidR="00F00E46">
        <w:rPr>
          <w:rFonts w:cstheme="majorHAnsi"/>
          <w:sz w:val="24"/>
          <w:szCs w:val="24"/>
        </w:rPr>
        <w:t>2020/21</w:t>
      </w:r>
      <w:r>
        <w:rPr>
          <w:rFonts w:cstheme="majorHAnsi"/>
          <w:sz w:val="24"/>
          <w:szCs w:val="24"/>
        </w:rPr>
        <w:t xml:space="preserve">, the Sandwell rate of </w:t>
      </w:r>
      <w:r w:rsidR="00613C28">
        <w:rPr>
          <w:rFonts w:cstheme="majorHAnsi"/>
          <w:sz w:val="24"/>
          <w:szCs w:val="24"/>
        </w:rPr>
        <w:t>0.8</w:t>
      </w:r>
      <w:r w:rsidR="00FA246A" w:rsidRPr="00580BD2">
        <w:rPr>
          <w:rFonts w:cstheme="majorHAnsi"/>
          <w:sz w:val="24"/>
          <w:szCs w:val="24"/>
        </w:rPr>
        <w:t>%</w:t>
      </w:r>
      <w:r>
        <w:rPr>
          <w:rFonts w:cstheme="majorHAnsi"/>
          <w:sz w:val="24"/>
          <w:szCs w:val="24"/>
        </w:rPr>
        <w:t xml:space="preserve"> is </w:t>
      </w:r>
      <w:r w:rsidR="00613C28">
        <w:rPr>
          <w:rFonts w:cstheme="majorHAnsi"/>
          <w:sz w:val="24"/>
          <w:szCs w:val="24"/>
        </w:rPr>
        <w:t xml:space="preserve">above </w:t>
      </w:r>
      <w:r w:rsidR="00B3562C" w:rsidRPr="00580BD2">
        <w:rPr>
          <w:rFonts w:cstheme="majorHAnsi"/>
          <w:sz w:val="24"/>
          <w:szCs w:val="24"/>
        </w:rPr>
        <w:t xml:space="preserve">England </w:t>
      </w:r>
      <w:r>
        <w:rPr>
          <w:rFonts w:cstheme="majorHAnsi"/>
          <w:sz w:val="24"/>
          <w:szCs w:val="24"/>
        </w:rPr>
        <w:t>(</w:t>
      </w:r>
      <w:r w:rsidR="00B3562C" w:rsidRPr="00580BD2">
        <w:rPr>
          <w:rFonts w:cstheme="majorHAnsi"/>
          <w:sz w:val="24"/>
          <w:szCs w:val="24"/>
        </w:rPr>
        <w:t>0.</w:t>
      </w:r>
      <w:r w:rsidR="00613C28">
        <w:rPr>
          <w:rFonts w:cstheme="majorHAnsi"/>
          <w:sz w:val="24"/>
          <w:szCs w:val="24"/>
        </w:rPr>
        <w:t>6</w:t>
      </w:r>
      <w:r>
        <w:rPr>
          <w:rFonts w:cstheme="majorHAnsi"/>
          <w:sz w:val="24"/>
          <w:szCs w:val="24"/>
        </w:rPr>
        <w:t>%)</w:t>
      </w:r>
      <w:r w:rsidR="00613C28">
        <w:rPr>
          <w:rFonts w:cstheme="majorHAnsi"/>
          <w:sz w:val="24"/>
          <w:szCs w:val="24"/>
        </w:rPr>
        <w:t>, but this is not statistically significant</w:t>
      </w:r>
      <w:r>
        <w:rPr>
          <w:rFonts w:cstheme="majorHAnsi"/>
          <w:sz w:val="24"/>
          <w:szCs w:val="24"/>
        </w:rPr>
        <w:t>.</w:t>
      </w:r>
    </w:p>
    <w:p w14:paraId="307273F4" w14:textId="1C6C12F4" w:rsidR="00EA4EF1" w:rsidRDefault="00EA4EF1" w:rsidP="00B3562C">
      <w:pPr>
        <w:pStyle w:val="ListParagraph"/>
        <w:numPr>
          <w:ilvl w:val="0"/>
          <w:numId w:val="3"/>
        </w:numPr>
        <w:rPr>
          <w:rFonts w:cstheme="majorHAnsi"/>
          <w:sz w:val="24"/>
          <w:szCs w:val="24"/>
        </w:rPr>
      </w:pPr>
      <w:r>
        <w:rPr>
          <w:rFonts w:cstheme="majorHAnsi"/>
          <w:sz w:val="24"/>
          <w:szCs w:val="24"/>
        </w:rPr>
        <w:t>There has been a declining trend over a number of years in Sandwell</w:t>
      </w:r>
      <w:r w:rsidR="00492C12">
        <w:rPr>
          <w:rFonts w:cstheme="majorHAnsi"/>
          <w:sz w:val="24"/>
          <w:szCs w:val="24"/>
        </w:rPr>
        <w:t xml:space="preserve"> (see Figure 1.6)</w:t>
      </w:r>
      <w:r>
        <w:rPr>
          <w:rFonts w:cstheme="majorHAnsi"/>
          <w:sz w:val="24"/>
          <w:szCs w:val="24"/>
        </w:rPr>
        <w:t>.</w:t>
      </w:r>
    </w:p>
    <w:p w14:paraId="72539B05" w14:textId="3E6B9EFB" w:rsidR="00C06FB9" w:rsidRDefault="00C06FB9" w:rsidP="00C06FB9">
      <w:pPr>
        <w:pStyle w:val="ListParagraph"/>
        <w:rPr>
          <w:rFonts w:cstheme="majorHAnsi"/>
          <w:sz w:val="24"/>
          <w:szCs w:val="24"/>
        </w:rPr>
      </w:pPr>
    </w:p>
    <w:p w14:paraId="0202EC01" w14:textId="77777777" w:rsidR="00542EC9" w:rsidRDefault="00542EC9" w:rsidP="002B23EE">
      <w:pPr>
        <w:pStyle w:val="ListParagraph"/>
        <w:ind w:left="0"/>
        <w:jc w:val="both"/>
        <w:rPr>
          <w:rFonts w:cstheme="majorHAnsi"/>
          <w:b/>
          <w:sz w:val="24"/>
          <w:szCs w:val="24"/>
        </w:rPr>
      </w:pPr>
    </w:p>
    <w:p w14:paraId="59B0D185" w14:textId="77777777" w:rsidR="00542EC9" w:rsidRDefault="00542EC9" w:rsidP="002B23EE">
      <w:pPr>
        <w:pStyle w:val="ListParagraph"/>
        <w:ind w:left="0"/>
        <w:jc w:val="both"/>
        <w:rPr>
          <w:rFonts w:cstheme="majorHAnsi"/>
          <w:b/>
          <w:sz w:val="24"/>
          <w:szCs w:val="24"/>
        </w:rPr>
      </w:pPr>
    </w:p>
    <w:p w14:paraId="3B2027C0" w14:textId="77777777" w:rsidR="00542EC9" w:rsidRDefault="00542EC9" w:rsidP="002B23EE">
      <w:pPr>
        <w:pStyle w:val="ListParagraph"/>
        <w:ind w:left="0"/>
        <w:jc w:val="both"/>
        <w:rPr>
          <w:rFonts w:cstheme="majorHAnsi"/>
          <w:b/>
          <w:sz w:val="24"/>
          <w:szCs w:val="24"/>
        </w:rPr>
      </w:pPr>
    </w:p>
    <w:p w14:paraId="45C4F728" w14:textId="77777777" w:rsidR="00E41513" w:rsidRDefault="00E41513">
      <w:pPr>
        <w:spacing w:after="160" w:line="259" w:lineRule="auto"/>
        <w:rPr>
          <w:rFonts w:cstheme="majorHAnsi"/>
          <w:b/>
          <w:sz w:val="24"/>
          <w:szCs w:val="24"/>
        </w:rPr>
      </w:pPr>
      <w:r>
        <w:rPr>
          <w:rFonts w:cstheme="majorHAnsi"/>
          <w:b/>
          <w:sz w:val="24"/>
          <w:szCs w:val="24"/>
        </w:rPr>
        <w:br w:type="page"/>
      </w:r>
    </w:p>
    <w:p w14:paraId="41BECFE9" w14:textId="1B3E72C0" w:rsidR="002B23EE" w:rsidRPr="002B23EE" w:rsidRDefault="002B23EE" w:rsidP="002B23EE">
      <w:pPr>
        <w:pStyle w:val="ListParagraph"/>
        <w:ind w:left="0"/>
        <w:jc w:val="both"/>
        <w:rPr>
          <w:rFonts w:cstheme="majorHAnsi"/>
          <w:b/>
          <w:sz w:val="24"/>
          <w:szCs w:val="24"/>
        </w:rPr>
      </w:pPr>
      <w:r w:rsidRPr="002B23EE">
        <w:rPr>
          <w:rFonts w:cstheme="majorHAnsi"/>
          <w:b/>
          <w:sz w:val="24"/>
          <w:szCs w:val="24"/>
        </w:rPr>
        <w:t xml:space="preserve">Figure </w:t>
      </w:r>
      <w:r w:rsidR="00DA1C23">
        <w:rPr>
          <w:rFonts w:cstheme="majorHAnsi"/>
          <w:b/>
          <w:sz w:val="24"/>
          <w:szCs w:val="24"/>
        </w:rPr>
        <w:t>1.</w:t>
      </w:r>
      <w:r w:rsidR="00AD1B98">
        <w:rPr>
          <w:rFonts w:cstheme="majorHAnsi"/>
          <w:b/>
          <w:sz w:val="24"/>
          <w:szCs w:val="24"/>
        </w:rPr>
        <w:t>6</w:t>
      </w:r>
      <w:r w:rsidRPr="002B23EE">
        <w:rPr>
          <w:rFonts w:cstheme="majorHAnsi"/>
          <w:b/>
          <w:sz w:val="24"/>
          <w:szCs w:val="24"/>
        </w:rPr>
        <w:t>:</w:t>
      </w:r>
    </w:p>
    <w:p w14:paraId="2E78E8EA" w14:textId="388708D9" w:rsidR="00B3562C" w:rsidRPr="00580BD2" w:rsidRDefault="00613C28" w:rsidP="00B3562C">
      <w:pPr>
        <w:rPr>
          <w:rFonts w:cstheme="majorHAnsi"/>
          <w:b/>
          <w:sz w:val="24"/>
          <w:szCs w:val="24"/>
          <w:u w:val="single"/>
        </w:rPr>
      </w:pPr>
      <w:r>
        <w:rPr>
          <w:noProof/>
        </w:rPr>
        <w:drawing>
          <wp:inline distT="0" distB="0" distL="0" distR="0" wp14:anchorId="2F6B421A" wp14:editId="59470CD6">
            <wp:extent cx="4606107" cy="2642547"/>
            <wp:effectExtent l="0" t="0" r="4445"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6107" cy="2642547"/>
                    </a:xfrm>
                    <a:prstGeom prst="rect">
                      <a:avLst/>
                    </a:prstGeom>
                  </pic:spPr>
                </pic:pic>
              </a:graphicData>
            </a:graphic>
          </wp:inline>
        </w:drawing>
      </w:r>
    </w:p>
    <w:p w14:paraId="6F8C152C" w14:textId="6D3B9F91" w:rsidR="00B3562C" w:rsidRPr="00580BD2" w:rsidRDefault="00FA246A" w:rsidP="00767646">
      <w:pPr>
        <w:rPr>
          <w:rFonts w:cstheme="majorHAnsi"/>
          <w:sz w:val="24"/>
          <w:szCs w:val="24"/>
        </w:rPr>
      </w:pPr>
      <w:r w:rsidRPr="00767646">
        <w:rPr>
          <w:rFonts w:cstheme="majorHAnsi"/>
          <w:sz w:val="24"/>
          <w:szCs w:val="24"/>
        </w:rPr>
        <w:t>Source: Public</w:t>
      </w:r>
      <w:r w:rsidR="0051082A" w:rsidRPr="00767646">
        <w:rPr>
          <w:rFonts w:cstheme="majorHAnsi"/>
          <w:sz w:val="24"/>
          <w:szCs w:val="24"/>
        </w:rPr>
        <w:t xml:space="preserve"> Health</w:t>
      </w:r>
      <w:r w:rsidR="0051082A" w:rsidRPr="00580BD2">
        <w:rPr>
          <w:rFonts w:cstheme="majorHAnsi"/>
          <w:sz w:val="24"/>
          <w:szCs w:val="24"/>
        </w:rPr>
        <w:t xml:space="preserve"> England Profiles</w:t>
      </w:r>
    </w:p>
    <w:p w14:paraId="602E6574" w14:textId="77777777" w:rsidR="00542EC9" w:rsidRDefault="00542EC9" w:rsidP="0076674A">
      <w:pPr>
        <w:rPr>
          <w:sz w:val="24"/>
          <w:szCs w:val="24"/>
        </w:rPr>
      </w:pPr>
    </w:p>
    <w:p w14:paraId="386B09DC" w14:textId="0D53BAB5" w:rsidR="0076674A" w:rsidRDefault="0076674A" w:rsidP="0076674A">
      <w:pPr>
        <w:rPr>
          <w:sz w:val="24"/>
          <w:szCs w:val="24"/>
        </w:rPr>
      </w:pPr>
      <w:r w:rsidRPr="0041032E">
        <w:rPr>
          <w:sz w:val="24"/>
          <w:szCs w:val="24"/>
        </w:rPr>
        <w:t>Six Sandwell wards are significantly different from the Sandwell average on estimated under 18 conceptions 2015 to 2017 (aggregated):</w:t>
      </w:r>
    </w:p>
    <w:p w14:paraId="58BD6935" w14:textId="4DF6B8EC" w:rsidR="00DD2115" w:rsidRDefault="0076674A" w:rsidP="00B13D4A">
      <w:pPr>
        <w:pStyle w:val="ListParagraph"/>
        <w:numPr>
          <w:ilvl w:val="0"/>
          <w:numId w:val="12"/>
        </w:numPr>
        <w:rPr>
          <w:sz w:val="24"/>
          <w:szCs w:val="24"/>
        </w:rPr>
      </w:pPr>
      <w:r>
        <w:rPr>
          <w:sz w:val="24"/>
          <w:szCs w:val="24"/>
        </w:rPr>
        <w:t>Wards with lower under 18 conception rates are Hateley Heath, Old Warley and St. Pauls</w:t>
      </w:r>
      <w:r w:rsidR="002B23EE">
        <w:rPr>
          <w:sz w:val="24"/>
          <w:szCs w:val="24"/>
        </w:rPr>
        <w:t>.</w:t>
      </w:r>
    </w:p>
    <w:p w14:paraId="16F8B4EB" w14:textId="02058566" w:rsidR="0076674A" w:rsidRPr="0076674A" w:rsidRDefault="0076674A" w:rsidP="00B13D4A">
      <w:pPr>
        <w:pStyle w:val="ListParagraph"/>
        <w:numPr>
          <w:ilvl w:val="0"/>
          <w:numId w:val="12"/>
        </w:numPr>
        <w:rPr>
          <w:sz w:val="24"/>
          <w:szCs w:val="24"/>
        </w:rPr>
      </w:pPr>
      <w:r>
        <w:rPr>
          <w:sz w:val="24"/>
          <w:szCs w:val="24"/>
        </w:rPr>
        <w:t>Wards with higher under 18 conception rates are Friar Park, Princes End and Tividale</w:t>
      </w:r>
      <w:r w:rsidR="002B23EE">
        <w:rPr>
          <w:sz w:val="24"/>
          <w:szCs w:val="24"/>
        </w:rPr>
        <w:t>.</w:t>
      </w:r>
    </w:p>
    <w:p w14:paraId="4D042326" w14:textId="77777777" w:rsidR="0076674A" w:rsidRDefault="0076674A" w:rsidP="0076674A"/>
    <w:p w14:paraId="57FBDAFD" w14:textId="77777777" w:rsidR="00492C12" w:rsidRDefault="00492C12" w:rsidP="0076674A"/>
    <w:p w14:paraId="553C39A1" w14:textId="2AF01E0C" w:rsidR="006A38BB" w:rsidRPr="00580BD2" w:rsidRDefault="006A38BB" w:rsidP="005B1F6D">
      <w:pPr>
        <w:pStyle w:val="Heading2"/>
      </w:pPr>
      <w:r w:rsidRPr="0041032E">
        <w:t>Maternal Birthplace</w:t>
      </w:r>
      <w:r w:rsidRPr="00580BD2">
        <w:t xml:space="preserve"> </w:t>
      </w:r>
    </w:p>
    <w:p w14:paraId="7FE9BD25" w14:textId="103A6EA3" w:rsidR="00542EC9" w:rsidRPr="00542EC9" w:rsidRDefault="00542EC9" w:rsidP="00D524EE">
      <w:pPr>
        <w:rPr>
          <w:rFonts w:cstheme="minorHAnsi"/>
          <w:sz w:val="24"/>
          <w:szCs w:val="24"/>
        </w:rPr>
      </w:pPr>
      <w:r w:rsidRPr="00542EC9">
        <w:rPr>
          <w:rFonts w:cstheme="minorHAnsi"/>
          <w:sz w:val="24"/>
          <w:szCs w:val="24"/>
        </w:rPr>
        <w:t xml:space="preserve">Immigrant mothers face additional challenges because they face language difficulties and have a lack of familiarity with care systems which often results in late presentation to maternity services (Small et al, 2014).  Depending on country of origin they may also be at increased risk of infectious diseases including HIV and Hepatitis B which may cause birth complications and also be transmitted from mother to baby.   </w:t>
      </w:r>
    </w:p>
    <w:p w14:paraId="027BB83F" w14:textId="2DF74FAC" w:rsidR="006A38BB" w:rsidRPr="00580BD2" w:rsidRDefault="00A60067" w:rsidP="00D524EE">
      <w:pPr>
        <w:rPr>
          <w:rFonts w:cs="Arial"/>
          <w:sz w:val="24"/>
          <w:szCs w:val="24"/>
        </w:rPr>
      </w:pPr>
      <w:r>
        <w:rPr>
          <w:rFonts w:cs="Arial"/>
          <w:sz w:val="24"/>
          <w:szCs w:val="24"/>
        </w:rPr>
        <w:t>Figure</w:t>
      </w:r>
      <w:r w:rsidR="00542EC9">
        <w:rPr>
          <w:rFonts w:cs="Arial"/>
          <w:sz w:val="24"/>
          <w:szCs w:val="24"/>
        </w:rPr>
        <w:t>s</w:t>
      </w:r>
      <w:r>
        <w:rPr>
          <w:rFonts w:cs="Arial"/>
          <w:sz w:val="24"/>
          <w:szCs w:val="24"/>
        </w:rPr>
        <w:t xml:space="preserve"> 1.</w:t>
      </w:r>
      <w:r w:rsidR="00AD1B98">
        <w:rPr>
          <w:rFonts w:cs="Arial"/>
          <w:sz w:val="24"/>
          <w:szCs w:val="24"/>
        </w:rPr>
        <w:t>7</w:t>
      </w:r>
      <w:r w:rsidR="006A38BB" w:rsidRPr="00580BD2">
        <w:rPr>
          <w:rFonts w:cs="Arial"/>
          <w:sz w:val="24"/>
          <w:szCs w:val="24"/>
        </w:rPr>
        <w:t xml:space="preserve"> and </w:t>
      </w:r>
      <w:r>
        <w:rPr>
          <w:rFonts w:cs="Arial"/>
          <w:sz w:val="24"/>
          <w:szCs w:val="24"/>
        </w:rPr>
        <w:t>1.</w:t>
      </w:r>
      <w:r w:rsidR="00AD1B98">
        <w:rPr>
          <w:rFonts w:cs="Arial"/>
          <w:sz w:val="24"/>
          <w:szCs w:val="24"/>
        </w:rPr>
        <w:t>8</w:t>
      </w:r>
      <w:r w:rsidR="006A38BB" w:rsidRPr="00580BD2">
        <w:rPr>
          <w:rFonts w:cs="Arial"/>
          <w:sz w:val="24"/>
          <w:szCs w:val="24"/>
        </w:rPr>
        <w:t xml:space="preserve"> demo</w:t>
      </w:r>
      <w:r w:rsidR="00B903CD">
        <w:rPr>
          <w:rFonts w:cs="Arial"/>
          <w:sz w:val="24"/>
          <w:szCs w:val="24"/>
        </w:rPr>
        <w:t>nstrate</w:t>
      </w:r>
      <w:r w:rsidR="006A38BB" w:rsidRPr="00580BD2">
        <w:rPr>
          <w:rFonts w:cs="Arial"/>
          <w:sz w:val="24"/>
          <w:szCs w:val="24"/>
        </w:rPr>
        <w:t xml:space="preserve"> the live births in </w:t>
      </w:r>
      <w:r w:rsidR="00B903CD">
        <w:rPr>
          <w:rFonts w:cs="Arial"/>
          <w:sz w:val="24"/>
          <w:szCs w:val="24"/>
        </w:rPr>
        <w:t>2020</w:t>
      </w:r>
      <w:r w:rsidR="006A38BB" w:rsidRPr="00580BD2">
        <w:rPr>
          <w:rFonts w:cs="Arial"/>
          <w:sz w:val="24"/>
          <w:szCs w:val="24"/>
        </w:rPr>
        <w:t xml:space="preserve"> for Sandwell by birthplace of mother. The highest proportion of live birth</w:t>
      </w:r>
      <w:r w:rsidR="008D6F53">
        <w:rPr>
          <w:rFonts w:cs="Arial"/>
          <w:sz w:val="24"/>
          <w:szCs w:val="24"/>
        </w:rPr>
        <w:t>s</w:t>
      </w:r>
      <w:r w:rsidR="006A38BB" w:rsidRPr="00580BD2">
        <w:rPr>
          <w:rFonts w:cs="Arial"/>
          <w:sz w:val="24"/>
          <w:szCs w:val="24"/>
        </w:rPr>
        <w:t xml:space="preserve"> by birthplace in Sandwell is </w:t>
      </w:r>
      <w:r w:rsidR="008D6F53">
        <w:rPr>
          <w:rFonts w:cs="Arial"/>
          <w:sz w:val="24"/>
          <w:szCs w:val="24"/>
        </w:rPr>
        <w:t xml:space="preserve">among </w:t>
      </w:r>
      <w:r w:rsidR="006A38BB" w:rsidRPr="00580BD2">
        <w:rPr>
          <w:rFonts w:cs="Arial"/>
          <w:sz w:val="24"/>
          <w:szCs w:val="24"/>
        </w:rPr>
        <w:t>women born in the UK (</w:t>
      </w:r>
      <w:r w:rsidR="00B903CD">
        <w:rPr>
          <w:rFonts w:cs="Arial"/>
          <w:sz w:val="24"/>
          <w:szCs w:val="24"/>
        </w:rPr>
        <w:t>61</w:t>
      </w:r>
      <w:r w:rsidR="006A38BB" w:rsidRPr="00580BD2">
        <w:rPr>
          <w:rFonts w:cs="Arial"/>
          <w:sz w:val="24"/>
          <w:szCs w:val="24"/>
        </w:rPr>
        <w:t>% with 2,</w:t>
      </w:r>
      <w:r w:rsidR="00B903CD" w:rsidRPr="00B903CD">
        <w:rPr>
          <w:rFonts w:cs="Arial"/>
          <w:sz w:val="24"/>
          <w:szCs w:val="24"/>
        </w:rPr>
        <w:t>635</w:t>
      </w:r>
      <w:r w:rsidR="006A38BB" w:rsidRPr="00580BD2">
        <w:rPr>
          <w:rFonts w:cs="Arial"/>
          <w:sz w:val="24"/>
          <w:szCs w:val="24"/>
        </w:rPr>
        <w:t xml:space="preserve"> births). This trend is consistent with the national and </w:t>
      </w:r>
      <w:r w:rsidR="00A815D2">
        <w:rPr>
          <w:rFonts w:cs="Arial"/>
          <w:sz w:val="24"/>
          <w:szCs w:val="24"/>
        </w:rPr>
        <w:t>r</w:t>
      </w:r>
      <w:r w:rsidR="006A38BB" w:rsidRPr="00580BD2">
        <w:rPr>
          <w:rFonts w:cs="Arial"/>
          <w:sz w:val="24"/>
          <w:szCs w:val="24"/>
        </w:rPr>
        <w:t xml:space="preserve">egional average (figure </w:t>
      </w:r>
      <w:r w:rsidR="00AD1B98">
        <w:rPr>
          <w:rFonts w:cs="Arial"/>
          <w:sz w:val="24"/>
          <w:szCs w:val="24"/>
        </w:rPr>
        <w:t>1.</w:t>
      </w:r>
      <w:r w:rsidR="006A38BB" w:rsidRPr="00580BD2">
        <w:rPr>
          <w:rFonts w:cs="Arial"/>
          <w:sz w:val="24"/>
          <w:szCs w:val="24"/>
        </w:rPr>
        <w:t>7). While mothers born in the rest of the world (th</w:t>
      </w:r>
      <w:r w:rsidR="00A815D2">
        <w:rPr>
          <w:rFonts w:cs="Arial"/>
          <w:sz w:val="24"/>
          <w:szCs w:val="24"/>
        </w:rPr>
        <w:t>i</w:t>
      </w:r>
      <w:r w:rsidR="006A38BB" w:rsidRPr="00580BD2">
        <w:rPr>
          <w:rFonts w:cs="Arial"/>
          <w:sz w:val="24"/>
          <w:szCs w:val="24"/>
        </w:rPr>
        <w:t>s includes</w:t>
      </w:r>
      <w:r w:rsidR="006A38BB" w:rsidRPr="00580BD2">
        <w:rPr>
          <w:sz w:val="24"/>
          <w:szCs w:val="24"/>
        </w:rPr>
        <w:t xml:space="preserve"> </w:t>
      </w:r>
      <w:r w:rsidR="006A38BB" w:rsidRPr="00580BD2">
        <w:rPr>
          <w:rFonts w:cs="Arial"/>
          <w:sz w:val="24"/>
          <w:szCs w:val="24"/>
        </w:rPr>
        <w:t xml:space="preserve">America, the Caribbean, Antarctica and Oceania) had the lowest proportion in Sandwell (2% with </w:t>
      </w:r>
      <w:r w:rsidR="00387EC3">
        <w:rPr>
          <w:rFonts w:cs="Arial"/>
          <w:sz w:val="24"/>
          <w:szCs w:val="24"/>
        </w:rPr>
        <w:t>75</w:t>
      </w:r>
      <w:r w:rsidR="006A38BB" w:rsidRPr="00580BD2">
        <w:rPr>
          <w:rFonts w:cs="Arial"/>
          <w:sz w:val="24"/>
          <w:szCs w:val="24"/>
        </w:rPr>
        <w:t xml:space="preserve"> births)</w:t>
      </w:r>
      <w:r>
        <w:rPr>
          <w:rFonts w:cs="Arial"/>
          <w:sz w:val="24"/>
          <w:szCs w:val="24"/>
        </w:rPr>
        <w:t>.</w:t>
      </w:r>
    </w:p>
    <w:p w14:paraId="2F062664" w14:textId="77777777" w:rsidR="00492C12" w:rsidRDefault="00492C12" w:rsidP="006A38BB">
      <w:pPr>
        <w:rPr>
          <w:rFonts w:cs="Arial"/>
          <w:b/>
          <w:sz w:val="24"/>
          <w:szCs w:val="24"/>
        </w:rPr>
      </w:pPr>
    </w:p>
    <w:p w14:paraId="637FF231" w14:textId="77777777" w:rsidR="00492C12" w:rsidRDefault="00492C12" w:rsidP="006A38BB">
      <w:pPr>
        <w:rPr>
          <w:rFonts w:cs="Arial"/>
          <w:b/>
          <w:sz w:val="24"/>
          <w:szCs w:val="24"/>
        </w:rPr>
      </w:pPr>
    </w:p>
    <w:p w14:paraId="5F580BCC" w14:textId="5933C8CC" w:rsidR="006A38BB" w:rsidRPr="00580BD2" w:rsidRDefault="006A38BB" w:rsidP="006A38BB">
      <w:pPr>
        <w:rPr>
          <w:rFonts w:cs="Arial"/>
          <w:b/>
          <w:sz w:val="24"/>
          <w:szCs w:val="24"/>
        </w:rPr>
      </w:pPr>
      <w:r w:rsidRPr="00580BD2">
        <w:rPr>
          <w:rFonts w:cs="Arial"/>
          <w:b/>
          <w:sz w:val="24"/>
          <w:szCs w:val="24"/>
        </w:rPr>
        <w:t xml:space="preserve">Figure </w:t>
      </w:r>
      <w:r w:rsidR="00DA1C23">
        <w:rPr>
          <w:rFonts w:cs="Arial"/>
          <w:b/>
          <w:sz w:val="24"/>
          <w:szCs w:val="24"/>
        </w:rPr>
        <w:t>1.</w:t>
      </w:r>
      <w:r w:rsidR="00AD1B98">
        <w:rPr>
          <w:rFonts w:cs="Arial"/>
          <w:b/>
          <w:sz w:val="24"/>
          <w:szCs w:val="24"/>
        </w:rPr>
        <w:t>7</w:t>
      </w:r>
      <w:r w:rsidRPr="00580BD2">
        <w:rPr>
          <w:rFonts w:cs="Arial"/>
          <w:b/>
          <w:sz w:val="24"/>
          <w:szCs w:val="24"/>
        </w:rPr>
        <w:t xml:space="preserve">: Percentage of </w:t>
      </w:r>
      <w:r w:rsidR="00DD37DF">
        <w:rPr>
          <w:rFonts w:cs="Arial"/>
          <w:b/>
          <w:sz w:val="24"/>
          <w:szCs w:val="24"/>
        </w:rPr>
        <w:t>l</w:t>
      </w:r>
      <w:r w:rsidRPr="00580BD2">
        <w:rPr>
          <w:rFonts w:cs="Arial"/>
          <w:b/>
          <w:sz w:val="24"/>
          <w:szCs w:val="24"/>
        </w:rPr>
        <w:t xml:space="preserve">ive </w:t>
      </w:r>
      <w:r w:rsidR="00DD37DF">
        <w:rPr>
          <w:rFonts w:cs="Arial"/>
          <w:b/>
          <w:sz w:val="24"/>
          <w:szCs w:val="24"/>
        </w:rPr>
        <w:t>b</w:t>
      </w:r>
      <w:r w:rsidRPr="00580BD2">
        <w:rPr>
          <w:rFonts w:cs="Arial"/>
          <w:b/>
          <w:sz w:val="24"/>
          <w:szCs w:val="24"/>
        </w:rPr>
        <w:t xml:space="preserve">irths by </w:t>
      </w:r>
      <w:r w:rsidR="00DD37DF">
        <w:rPr>
          <w:rFonts w:cs="Arial"/>
          <w:b/>
          <w:sz w:val="24"/>
          <w:szCs w:val="24"/>
        </w:rPr>
        <w:t>b</w:t>
      </w:r>
      <w:r w:rsidRPr="00580BD2">
        <w:rPr>
          <w:rFonts w:cs="Arial"/>
          <w:b/>
          <w:sz w:val="24"/>
          <w:szCs w:val="24"/>
        </w:rPr>
        <w:t xml:space="preserve">irthplace of </w:t>
      </w:r>
      <w:r w:rsidR="00DD37DF">
        <w:rPr>
          <w:rFonts w:cs="Arial"/>
          <w:b/>
          <w:sz w:val="24"/>
          <w:szCs w:val="24"/>
        </w:rPr>
        <w:t>m</w:t>
      </w:r>
      <w:r w:rsidRPr="00580BD2">
        <w:rPr>
          <w:rFonts w:cs="Arial"/>
          <w:b/>
          <w:sz w:val="24"/>
          <w:szCs w:val="24"/>
        </w:rPr>
        <w:t>other</w:t>
      </w:r>
      <w:r w:rsidR="00B63E9A">
        <w:rPr>
          <w:rFonts w:cs="Arial"/>
          <w:b/>
          <w:sz w:val="24"/>
          <w:szCs w:val="24"/>
        </w:rPr>
        <w:t xml:space="preserve"> - </w:t>
      </w:r>
      <w:r w:rsidR="00B47E83">
        <w:rPr>
          <w:rFonts w:cs="Arial"/>
          <w:b/>
          <w:sz w:val="24"/>
          <w:szCs w:val="24"/>
        </w:rPr>
        <w:t>2020</w:t>
      </w:r>
    </w:p>
    <w:p w14:paraId="24B88533" w14:textId="3F4CF5EF" w:rsidR="00B47E83" w:rsidRPr="00580BD2" w:rsidRDefault="00B47E83" w:rsidP="006A38BB">
      <w:pPr>
        <w:rPr>
          <w:rFonts w:cs="Arial"/>
          <w:b/>
          <w:sz w:val="24"/>
          <w:szCs w:val="24"/>
        </w:rPr>
      </w:pPr>
      <w:r>
        <w:rPr>
          <w:rFonts w:cs="Arial"/>
          <w:noProof/>
          <w:sz w:val="24"/>
          <w:szCs w:val="24"/>
        </w:rPr>
        <w:drawing>
          <wp:anchor distT="0" distB="0" distL="114300" distR="114300" simplePos="0" relativeHeight="251658255" behindDoc="1" locked="0" layoutInCell="1" allowOverlap="1" wp14:anchorId="433C31EF" wp14:editId="6D19E4A6">
            <wp:simplePos x="0" y="0"/>
            <wp:positionH relativeFrom="margin">
              <wp:align>left</wp:align>
            </wp:positionH>
            <wp:positionV relativeFrom="paragraph">
              <wp:posOffset>130261</wp:posOffset>
            </wp:positionV>
            <wp:extent cx="5252085" cy="4023360"/>
            <wp:effectExtent l="0" t="0" r="5715" b="0"/>
            <wp:wrapTight wrapText="bothSides">
              <wp:wrapPolygon edited="0">
                <wp:start x="0" y="0"/>
                <wp:lineTo x="0" y="21477"/>
                <wp:lineTo x="21545" y="21477"/>
                <wp:lineTo x="2154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52085" cy="4023360"/>
                    </a:xfrm>
                    <a:prstGeom prst="rect">
                      <a:avLst/>
                    </a:prstGeom>
                    <a:noFill/>
                  </pic:spPr>
                </pic:pic>
              </a:graphicData>
            </a:graphic>
            <wp14:sizeRelH relativeFrom="page">
              <wp14:pctWidth>0</wp14:pctWidth>
            </wp14:sizeRelH>
            <wp14:sizeRelV relativeFrom="page">
              <wp14:pctHeight>0</wp14:pctHeight>
            </wp14:sizeRelV>
          </wp:anchor>
        </w:drawing>
      </w:r>
    </w:p>
    <w:p w14:paraId="4FC972D1" w14:textId="194D2339" w:rsidR="006A38BB" w:rsidRPr="00580BD2" w:rsidRDefault="006A38BB" w:rsidP="006A38BB">
      <w:pPr>
        <w:jc w:val="both"/>
        <w:rPr>
          <w:rFonts w:cs="Arial"/>
          <w:sz w:val="24"/>
          <w:szCs w:val="24"/>
        </w:rPr>
      </w:pPr>
    </w:p>
    <w:p w14:paraId="3E8D63CD" w14:textId="77777777" w:rsidR="002453EE" w:rsidRDefault="002453EE" w:rsidP="006A38BB">
      <w:pPr>
        <w:rPr>
          <w:rFonts w:cs="Arial"/>
          <w:b/>
          <w:noProof/>
          <w:sz w:val="24"/>
          <w:szCs w:val="24"/>
        </w:rPr>
      </w:pPr>
    </w:p>
    <w:p w14:paraId="7E46A75F" w14:textId="55C637F1" w:rsidR="006A38BB" w:rsidRPr="00580BD2" w:rsidRDefault="006A38BB" w:rsidP="006A38BB">
      <w:pPr>
        <w:rPr>
          <w:rFonts w:cs="Arial"/>
          <w:sz w:val="24"/>
          <w:szCs w:val="24"/>
        </w:rPr>
      </w:pPr>
      <w:r w:rsidRPr="00580BD2">
        <w:rPr>
          <w:rFonts w:cs="Arial"/>
          <w:sz w:val="24"/>
          <w:szCs w:val="24"/>
        </w:rPr>
        <w:t xml:space="preserve">Source: Office </w:t>
      </w:r>
      <w:r w:rsidR="008351C8" w:rsidRPr="00580BD2">
        <w:rPr>
          <w:rFonts w:cs="Arial"/>
          <w:sz w:val="24"/>
          <w:szCs w:val="24"/>
        </w:rPr>
        <w:t xml:space="preserve">for </w:t>
      </w:r>
      <w:r w:rsidRPr="00580BD2">
        <w:rPr>
          <w:rFonts w:cs="Arial"/>
          <w:sz w:val="24"/>
          <w:szCs w:val="24"/>
        </w:rPr>
        <w:t>National Statistics</w:t>
      </w:r>
    </w:p>
    <w:p w14:paraId="778FD37B" w14:textId="77777777" w:rsidR="006A38BB" w:rsidRPr="00580BD2" w:rsidRDefault="006A38BB" w:rsidP="006A38BB">
      <w:pPr>
        <w:rPr>
          <w:rFonts w:cs="Arial"/>
          <w:sz w:val="24"/>
          <w:szCs w:val="24"/>
        </w:rPr>
      </w:pPr>
    </w:p>
    <w:p w14:paraId="12A08A3A" w14:textId="77777777" w:rsidR="002453EE" w:rsidRDefault="002453EE" w:rsidP="006A38BB">
      <w:pPr>
        <w:rPr>
          <w:rFonts w:cs="Arial"/>
          <w:b/>
          <w:sz w:val="24"/>
          <w:szCs w:val="24"/>
        </w:rPr>
      </w:pPr>
    </w:p>
    <w:p w14:paraId="7A5CC9AF" w14:textId="105B1E27" w:rsidR="006A38BB" w:rsidRPr="00580BD2" w:rsidRDefault="002453EE" w:rsidP="006A38BB">
      <w:pPr>
        <w:rPr>
          <w:rFonts w:cs="Arial"/>
          <w:b/>
          <w:sz w:val="24"/>
          <w:szCs w:val="24"/>
        </w:rPr>
      </w:pPr>
      <w:r>
        <w:rPr>
          <w:rFonts w:cs="Arial"/>
          <w:b/>
          <w:noProof/>
          <w:sz w:val="24"/>
          <w:szCs w:val="24"/>
        </w:rPr>
        <w:drawing>
          <wp:anchor distT="0" distB="0" distL="114300" distR="114300" simplePos="0" relativeHeight="251658256" behindDoc="1" locked="0" layoutInCell="1" allowOverlap="1" wp14:anchorId="17C6ED69" wp14:editId="5335271A">
            <wp:simplePos x="0" y="0"/>
            <wp:positionH relativeFrom="column">
              <wp:posOffset>751205</wp:posOffset>
            </wp:positionH>
            <wp:positionV relativeFrom="paragraph">
              <wp:posOffset>306705</wp:posOffset>
            </wp:positionV>
            <wp:extent cx="3214370" cy="2890520"/>
            <wp:effectExtent l="0" t="0" r="5080" b="5080"/>
            <wp:wrapTight wrapText="bothSides">
              <wp:wrapPolygon edited="0">
                <wp:start x="0" y="0"/>
                <wp:lineTo x="0" y="21496"/>
                <wp:lineTo x="21506" y="21496"/>
                <wp:lineTo x="21506"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14370" cy="2890520"/>
                    </a:xfrm>
                    <a:prstGeom prst="rect">
                      <a:avLst/>
                    </a:prstGeom>
                    <a:noFill/>
                  </pic:spPr>
                </pic:pic>
              </a:graphicData>
            </a:graphic>
            <wp14:sizeRelH relativeFrom="page">
              <wp14:pctWidth>0</wp14:pctWidth>
            </wp14:sizeRelH>
            <wp14:sizeRelV relativeFrom="page">
              <wp14:pctHeight>0</wp14:pctHeight>
            </wp14:sizeRelV>
          </wp:anchor>
        </w:drawing>
      </w:r>
      <w:r w:rsidR="006A38BB" w:rsidRPr="00580BD2">
        <w:rPr>
          <w:rFonts w:cs="Arial"/>
          <w:b/>
          <w:sz w:val="24"/>
          <w:szCs w:val="24"/>
        </w:rPr>
        <w:t xml:space="preserve">Figure </w:t>
      </w:r>
      <w:r w:rsidR="00DA1C23">
        <w:rPr>
          <w:rFonts w:cs="Arial"/>
          <w:b/>
          <w:sz w:val="24"/>
          <w:szCs w:val="24"/>
        </w:rPr>
        <w:t>1.</w:t>
      </w:r>
      <w:r w:rsidR="002765D0">
        <w:rPr>
          <w:rFonts w:cs="Arial"/>
          <w:b/>
          <w:sz w:val="24"/>
          <w:szCs w:val="24"/>
        </w:rPr>
        <w:t>8</w:t>
      </w:r>
      <w:r w:rsidR="006A38BB" w:rsidRPr="00580BD2">
        <w:rPr>
          <w:rFonts w:cs="Arial"/>
          <w:b/>
          <w:sz w:val="24"/>
          <w:szCs w:val="24"/>
        </w:rPr>
        <w:t xml:space="preserve">: </w:t>
      </w:r>
      <w:r w:rsidR="00616152">
        <w:rPr>
          <w:rFonts w:cs="Arial"/>
          <w:b/>
          <w:sz w:val="24"/>
          <w:szCs w:val="24"/>
        </w:rPr>
        <w:t>Percentage</w:t>
      </w:r>
      <w:r w:rsidR="006A38BB" w:rsidRPr="00580BD2">
        <w:rPr>
          <w:rFonts w:cs="Arial"/>
          <w:b/>
          <w:sz w:val="24"/>
          <w:szCs w:val="24"/>
        </w:rPr>
        <w:t xml:space="preserve"> </w:t>
      </w:r>
      <w:r w:rsidR="00616152">
        <w:rPr>
          <w:rFonts w:cs="Arial"/>
          <w:b/>
          <w:sz w:val="24"/>
          <w:szCs w:val="24"/>
        </w:rPr>
        <w:t xml:space="preserve">and crude number </w:t>
      </w:r>
      <w:r w:rsidR="006A38BB" w:rsidRPr="00580BD2">
        <w:rPr>
          <w:rFonts w:cs="Arial"/>
          <w:b/>
          <w:sz w:val="24"/>
          <w:szCs w:val="24"/>
        </w:rPr>
        <w:t xml:space="preserve">of </w:t>
      </w:r>
      <w:r w:rsidR="00616152">
        <w:rPr>
          <w:rFonts w:cs="Arial"/>
          <w:b/>
          <w:sz w:val="24"/>
          <w:szCs w:val="24"/>
        </w:rPr>
        <w:t>l</w:t>
      </w:r>
      <w:r w:rsidR="006A38BB" w:rsidRPr="00580BD2">
        <w:rPr>
          <w:rFonts w:cs="Arial"/>
          <w:b/>
          <w:sz w:val="24"/>
          <w:szCs w:val="24"/>
        </w:rPr>
        <w:t xml:space="preserve">ive </w:t>
      </w:r>
      <w:r w:rsidR="00616152">
        <w:rPr>
          <w:rFonts w:cs="Arial"/>
          <w:b/>
          <w:sz w:val="24"/>
          <w:szCs w:val="24"/>
        </w:rPr>
        <w:t>b</w:t>
      </w:r>
      <w:r w:rsidR="006A38BB" w:rsidRPr="00580BD2">
        <w:rPr>
          <w:rFonts w:cs="Arial"/>
          <w:b/>
          <w:sz w:val="24"/>
          <w:szCs w:val="24"/>
        </w:rPr>
        <w:t xml:space="preserve">irths by </w:t>
      </w:r>
      <w:r w:rsidR="00616152">
        <w:rPr>
          <w:rFonts w:cs="Arial"/>
          <w:b/>
          <w:sz w:val="24"/>
          <w:szCs w:val="24"/>
        </w:rPr>
        <w:t>b</w:t>
      </w:r>
      <w:r w:rsidR="006A38BB" w:rsidRPr="00580BD2">
        <w:rPr>
          <w:rFonts w:cs="Arial"/>
          <w:b/>
          <w:sz w:val="24"/>
          <w:szCs w:val="24"/>
        </w:rPr>
        <w:t xml:space="preserve">irthplace of </w:t>
      </w:r>
      <w:r w:rsidR="00616152">
        <w:rPr>
          <w:rFonts w:cs="Arial"/>
          <w:b/>
          <w:sz w:val="24"/>
          <w:szCs w:val="24"/>
        </w:rPr>
        <w:t>m</w:t>
      </w:r>
      <w:r w:rsidR="006A38BB" w:rsidRPr="00580BD2">
        <w:rPr>
          <w:rFonts w:cs="Arial"/>
          <w:b/>
          <w:sz w:val="24"/>
          <w:szCs w:val="24"/>
        </w:rPr>
        <w:t>other</w:t>
      </w:r>
      <w:r w:rsidR="00616152">
        <w:rPr>
          <w:rFonts w:cs="Arial"/>
          <w:b/>
          <w:sz w:val="24"/>
          <w:szCs w:val="24"/>
        </w:rPr>
        <w:t>:</w:t>
      </w:r>
      <w:r w:rsidR="006A38BB" w:rsidRPr="00580BD2">
        <w:rPr>
          <w:rFonts w:cs="Arial"/>
          <w:b/>
          <w:sz w:val="24"/>
          <w:szCs w:val="24"/>
        </w:rPr>
        <w:t xml:space="preserve"> Sandwell, </w:t>
      </w:r>
      <w:r>
        <w:rPr>
          <w:rFonts w:cs="Arial"/>
          <w:b/>
          <w:sz w:val="24"/>
          <w:szCs w:val="24"/>
        </w:rPr>
        <w:t>2020</w:t>
      </w:r>
    </w:p>
    <w:p w14:paraId="648C65C4" w14:textId="2A222D4C" w:rsidR="0075241E" w:rsidRPr="00580BD2" w:rsidRDefault="0075241E" w:rsidP="006A38BB">
      <w:pPr>
        <w:rPr>
          <w:rFonts w:cs="Arial"/>
          <w:b/>
          <w:sz w:val="24"/>
          <w:szCs w:val="24"/>
        </w:rPr>
      </w:pPr>
    </w:p>
    <w:p w14:paraId="5CC48F71" w14:textId="77777777" w:rsidR="002453EE" w:rsidRDefault="002453EE" w:rsidP="006A38BB">
      <w:pPr>
        <w:rPr>
          <w:rFonts w:cs="Arial"/>
          <w:sz w:val="24"/>
          <w:szCs w:val="24"/>
        </w:rPr>
      </w:pPr>
    </w:p>
    <w:p w14:paraId="08806A02" w14:textId="77777777" w:rsidR="002453EE" w:rsidRDefault="002453EE" w:rsidP="006A38BB">
      <w:pPr>
        <w:rPr>
          <w:rFonts w:cs="Arial"/>
          <w:sz w:val="24"/>
          <w:szCs w:val="24"/>
        </w:rPr>
      </w:pPr>
    </w:p>
    <w:p w14:paraId="6EDA0B70" w14:textId="77777777" w:rsidR="002453EE" w:rsidRDefault="002453EE" w:rsidP="006A38BB">
      <w:pPr>
        <w:rPr>
          <w:rFonts w:cs="Arial"/>
          <w:sz w:val="24"/>
          <w:szCs w:val="24"/>
        </w:rPr>
      </w:pPr>
    </w:p>
    <w:p w14:paraId="17925822" w14:textId="77777777" w:rsidR="002453EE" w:rsidRDefault="002453EE" w:rsidP="006A38BB">
      <w:pPr>
        <w:rPr>
          <w:rFonts w:cs="Arial"/>
          <w:sz w:val="24"/>
          <w:szCs w:val="24"/>
        </w:rPr>
      </w:pPr>
    </w:p>
    <w:p w14:paraId="492E92FD" w14:textId="77777777" w:rsidR="002453EE" w:rsidRDefault="002453EE" w:rsidP="006A38BB">
      <w:pPr>
        <w:rPr>
          <w:rFonts w:cs="Arial"/>
          <w:sz w:val="24"/>
          <w:szCs w:val="24"/>
        </w:rPr>
      </w:pPr>
    </w:p>
    <w:p w14:paraId="4D28D66D" w14:textId="77777777" w:rsidR="002453EE" w:rsidRDefault="002453EE" w:rsidP="006A38BB">
      <w:pPr>
        <w:rPr>
          <w:rFonts w:cs="Arial"/>
          <w:sz w:val="24"/>
          <w:szCs w:val="24"/>
        </w:rPr>
      </w:pPr>
    </w:p>
    <w:p w14:paraId="3107391C" w14:textId="77777777" w:rsidR="002453EE" w:rsidRDefault="002453EE" w:rsidP="006A38BB">
      <w:pPr>
        <w:rPr>
          <w:rFonts w:cs="Arial"/>
          <w:sz w:val="24"/>
          <w:szCs w:val="24"/>
        </w:rPr>
      </w:pPr>
    </w:p>
    <w:p w14:paraId="4E12F7F3" w14:textId="77777777" w:rsidR="002453EE" w:rsidRDefault="002453EE" w:rsidP="006A38BB">
      <w:pPr>
        <w:rPr>
          <w:rFonts w:cs="Arial"/>
          <w:sz w:val="24"/>
          <w:szCs w:val="24"/>
        </w:rPr>
      </w:pPr>
    </w:p>
    <w:p w14:paraId="624DF392" w14:textId="77777777" w:rsidR="002453EE" w:rsidRDefault="002453EE" w:rsidP="006A38BB">
      <w:pPr>
        <w:rPr>
          <w:rFonts w:cs="Arial"/>
          <w:sz w:val="24"/>
          <w:szCs w:val="24"/>
        </w:rPr>
      </w:pPr>
    </w:p>
    <w:p w14:paraId="54B24A3D" w14:textId="4E4D8183" w:rsidR="006A38BB" w:rsidRPr="00580BD2" w:rsidRDefault="006A38BB" w:rsidP="006A38BB">
      <w:pPr>
        <w:rPr>
          <w:rFonts w:cs="Arial"/>
          <w:sz w:val="24"/>
          <w:szCs w:val="24"/>
        </w:rPr>
      </w:pPr>
      <w:r w:rsidRPr="00580BD2">
        <w:rPr>
          <w:rFonts w:cs="Arial"/>
          <w:sz w:val="24"/>
          <w:szCs w:val="24"/>
        </w:rPr>
        <w:t xml:space="preserve">Source: Office </w:t>
      </w:r>
      <w:r w:rsidR="008351C8" w:rsidRPr="00580BD2">
        <w:rPr>
          <w:rFonts w:cs="Arial"/>
          <w:sz w:val="24"/>
          <w:szCs w:val="24"/>
        </w:rPr>
        <w:t>for</w:t>
      </w:r>
      <w:r w:rsidRPr="00580BD2">
        <w:rPr>
          <w:rFonts w:cs="Arial"/>
          <w:sz w:val="24"/>
          <w:szCs w:val="24"/>
        </w:rPr>
        <w:t xml:space="preserve"> National Statistics</w:t>
      </w:r>
    </w:p>
    <w:p w14:paraId="44C414A8" w14:textId="74912CA9" w:rsidR="006A38BB" w:rsidRPr="00580BD2" w:rsidRDefault="006A38BB" w:rsidP="00387EC3">
      <w:pPr>
        <w:rPr>
          <w:rFonts w:cs="Arial"/>
          <w:sz w:val="24"/>
          <w:szCs w:val="24"/>
        </w:rPr>
      </w:pPr>
      <w:r w:rsidRPr="00580BD2">
        <w:rPr>
          <w:rFonts w:cs="Arial"/>
          <w:sz w:val="24"/>
          <w:szCs w:val="24"/>
        </w:rPr>
        <w:t xml:space="preserve">The percentage of live births to non-UK born mothers increased from 18.3% (676 births) in 2001 to 37.3% (1,690 births) </w:t>
      </w:r>
      <w:r w:rsidR="00A60067">
        <w:rPr>
          <w:rFonts w:cs="Arial"/>
          <w:sz w:val="24"/>
          <w:szCs w:val="24"/>
        </w:rPr>
        <w:t>in 2018 as described in figure 1.</w:t>
      </w:r>
      <w:r w:rsidR="002765D0">
        <w:rPr>
          <w:rFonts w:cs="Arial"/>
          <w:sz w:val="24"/>
          <w:szCs w:val="24"/>
        </w:rPr>
        <w:t>9</w:t>
      </w:r>
      <w:r w:rsidRPr="00580BD2">
        <w:rPr>
          <w:rFonts w:cs="Arial"/>
          <w:sz w:val="24"/>
          <w:szCs w:val="24"/>
        </w:rPr>
        <w:t xml:space="preserve">. Sandwell’s percentage of live births by non-UK </w:t>
      </w:r>
      <w:r w:rsidR="009C5D5D">
        <w:rPr>
          <w:rFonts w:cs="Arial"/>
          <w:sz w:val="24"/>
          <w:szCs w:val="24"/>
        </w:rPr>
        <w:t xml:space="preserve">born </w:t>
      </w:r>
      <w:r w:rsidRPr="00580BD2">
        <w:rPr>
          <w:rFonts w:cs="Arial"/>
          <w:sz w:val="24"/>
          <w:szCs w:val="24"/>
        </w:rPr>
        <w:t xml:space="preserve">women was below </w:t>
      </w:r>
      <w:r w:rsidR="009C5D5D">
        <w:rPr>
          <w:rFonts w:cs="Arial"/>
          <w:sz w:val="24"/>
          <w:szCs w:val="24"/>
        </w:rPr>
        <w:t xml:space="preserve">the </w:t>
      </w:r>
      <w:r w:rsidRPr="00580BD2">
        <w:rPr>
          <w:rFonts w:cs="Arial"/>
          <w:sz w:val="24"/>
          <w:szCs w:val="24"/>
        </w:rPr>
        <w:t xml:space="preserve">West Midlands (Met County) </w:t>
      </w:r>
      <w:r w:rsidR="009C5D5D">
        <w:rPr>
          <w:rFonts w:cs="Arial"/>
          <w:sz w:val="24"/>
          <w:szCs w:val="24"/>
        </w:rPr>
        <w:t>average</w:t>
      </w:r>
      <w:r w:rsidRPr="00580BD2">
        <w:rPr>
          <w:rFonts w:cs="Arial"/>
          <w:sz w:val="24"/>
          <w:szCs w:val="24"/>
        </w:rPr>
        <w:t xml:space="preserve"> but </w:t>
      </w:r>
      <w:r w:rsidR="009C5D5D">
        <w:rPr>
          <w:rFonts w:cs="Arial"/>
          <w:sz w:val="24"/>
          <w:szCs w:val="24"/>
        </w:rPr>
        <w:t>h</w:t>
      </w:r>
      <w:r w:rsidRPr="00580BD2">
        <w:rPr>
          <w:rFonts w:cs="Arial"/>
          <w:sz w:val="24"/>
          <w:szCs w:val="24"/>
        </w:rPr>
        <w:t>igher than England from 2001 till 2010. However, from 2016 there has been a gradual increase above England and West Midlands (met county).</w:t>
      </w:r>
    </w:p>
    <w:p w14:paraId="3F7A35EB" w14:textId="36889681" w:rsidR="007453E5" w:rsidRDefault="007453E5">
      <w:pPr>
        <w:spacing w:after="160" w:line="259" w:lineRule="auto"/>
        <w:rPr>
          <w:rFonts w:eastAsia="Times New Roman" w:cs="Arial"/>
          <w:b/>
          <w:sz w:val="24"/>
          <w:szCs w:val="24"/>
          <w:lang w:eastAsia="en-GB"/>
        </w:rPr>
      </w:pPr>
    </w:p>
    <w:p w14:paraId="31593943" w14:textId="35B0174A" w:rsidR="006A38BB" w:rsidRPr="00580BD2" w:rsidRDefault="006A38BB" w:rsidP="006A38BB">
      <w:pPr>
        <w:rPr>
          <w:rFonts w:eastAsia="Times New Roman" w:cs="Arial"/>
          <w:b/>
          <w:sz w:val="24"/>
          <w:szCs w:val="24"/>
          <w:lang w:eastAsia="en-GB"/>
        </w:rPr>
      </w:pPr>
      <w:r w:rsidRPr="00580BD2">
        <w:rPr>
          <w:rFonts w:eastAsia="Times New Roman" w:cs="Arial"/>
          <w:b/>
          <w:sz w:val="24"/>
          <w:szCs w:val="24"/>
          <w:lang w:eastAsia="en-GB"/>
        </w:rPr>
        <w:t xml:space="preserve">Figure </w:t>
      </w:r>
      <w:r w:rsidR="00DA1C23">
        <w:rPr>
          <w:rFonts w:eastAsia="Times New Roman" w:cs="Arial"/>
          <w:b/>
          <w:sz w:val="24"/>
          <w:szCs w:val="24"/>
          <w:lang w:eastAsia="en-GB"/>
        </w:rPr>
        <w:t>1.</w:t>
      </w:r>
      <w:r w:rsidR="002765D0">
        <w:rPr>
          <w:rFonts w:eastAsia="Times New Roman" w:cs="Arial"/>
          <w:b/>
          <w:sz w:val="24"/>
          <w:szCs w:val="24"/>
          <w:lang w:eastAsia="en-GB"/>
        </w:rPr>
        <w:t>9</w:t>
      </w:r>
      <w:r w:rsidRPr="00580BD2">
        <w:rPr>
          <w:rFonts w:eastAsia="Times New Roman" w:cs="Arial"/>
          <w:b/>
          <w:sz w:val="24"/>
          <w:szCs w:val="24"/>
          <w:lang w:eastAsia="en-GB"/>
        </w:rPr>
        <w:t xml:space="preserve">: Percentage of </w:t>
      </w:r>
      <w:r w:rsidR="00012119">
        <w:rPr>
          <w:rFonts w:eastAsia="Times New Roman" w:cs="Arial"/>
          <w:b/>
          <w:sz w:val="24"/>
          <w:szCs w:val="24"/>
          <w:lang w:eastAsia="en-GB"/>
        </w:rPr>
        <w:t>l</w:t>
      </w:r>
      <w:r w:rsidRPr="00580BD2">
        <w:rPr>
          <w:rFonts w:eastAsia="Times New Roman" w:cs="Arial"/>
          <w:b/>
          <w:sz w:val="24"/>
          <w:szCs w:val="24"/>
          <w:lang w:eastAsia="en-GB"/>
        </w:rPr>
        <w:t xml:space="preserve">ive </w:t>
      </w:r>
      <w:r w:rsidR="00012119">
        <w:rPr>
          <w:rFonts w:eastAsia="Times New Roman" w:cs="Arial"/>
          <w:b/>
          <w:sz w:val="24"/>
          <w:szCs w:val="24"/>
          <w:lang w:eastAsia="en-GB"/>
        </w:rPr>
        <w:t>b</w:t>
      </w:r>
      <w:r w:rsidRPr="00580BD2">
        <w:rPr>
          <w:rFonts w:eastAsia="Times New Roman" w:cs="Arial"/>
          <w:b/>
          <w:sz w:val="24"/>
          <w:szCs w:val="24"/>
          <w:lang w:eastAsia="en-GB"/>
        </w:rPr>
        <w:t xml:space="preserve">irths to non-UK born </w:t>
      </w:r>
      <w:r w:rsidR="00012119">
        <w:rPr>
          <w:rFonts w:eastAsia="Times New Roman" w:cs="Arial"/>
          <w:b/>
          <w:sz w:val="24"/>
          <w:szCs w:val="24"/>
          <w:lang w:eastAsia="en-GB"/>
        </w:rPr>
        <w:t>m</w:t>
      </w:r>
      <w:r w:rsidRPr="00580BD2">
        <w:rPr>
          <w:rFonts w:eastAsia="Times New Roman" w:cs="Arial"/>
          <w:b/>
          <w:sz w:val="24"/>
          <w:szCs w:val="24"/>
          <w:lang w:eastAsia="en-GB"/>
        </w:rPr>
        <w:t>others from 2001-2018</w:t>
      </w:r>
    </w:p>
    <w:p w14:paraId="7DF4C4A8" w14:textId="3EF491A5" w:rsidR="006A38BB" w:rsidRPr="00580BD2" w:rsidRDefault="006A38BB" w:rsidP="006A38BB">
      <w:pPr>
        <w:rPr>
          <w:rFonts w:cs="Arial"/>
          <w:sz w:val="24"/>
          <w:szCs w:val="24"/>
        </w:rPr>
      </w:pPr>
      <w:r w:rsidRPr="00580BD2">
        <w:rPr>
          <w:rFonts w:cs="Arial"/>
          <w:noProof/>
          <w:sz w:val="24"/>
          <w:szCs w:val="24"/>
        </w:rPr>
        <w:drawing>
          <wp:anchor distT="0" distB="0" distL="114300" distR="114300" simplePos="0" relativeHeight="251658248" behindDoc="1" locked="0" layoutInCell="1" allowOverlap="1" wp14:anchorId="1027C15A" wp14:editId="2AB7CEBD">
            <wp:simplePos x="0" y="0"/>
            <wp:positionH relativeFrom="margin">
              <wp:posOffset>6350</wp:posOffset>
            </wp:positionH>
            <wp:positionV relativeFrom="paragraph">
              <wp:posOffset>0</wp:posOffset>
            </wp:positionV>
            <wp:extent cx="4929505" cy="3136900"/>
            <wp:effectExtent l="0" t="0" r="4445" b="6350"/>
            <wp:wrapTopAndBottom/>
            <wp:docPr id="50" name="Chart 50">
              <a:extLst xmlns:a="http://schemas.openxmlformats.org/drawingml/2006/main">
                <a:ext uri="{FF2B5EF4-FFF2-40B4-BE49-F238E27FC236}">
                  <a16:creationId xmlns:a16="http://schemas.microsoft.com/office/drawing/2014/main" id="{429B8227-F752-418D-ADC2-FB9DF7A4D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580BD2">
        <w:rPr>
          <w:rFonts w:cs="Arial"/>
          <w:sz w:val="24"/>
          <w:szCs w:val="24"/>
        </w:rPr>
        <w:t xml:space="preserve">Source: Office </w:t>
      </w:r>
      <w:r w:rsidR="008351C8" w:rsidRPr="00580BD2">
        <w:rPr>
          <w:rFonts w:cs="Arial"/>
          <w:sz w:val="24"/>
          <w:szCs w:val="24"/>
        </w:rPr>
        <w:t>for</w:t>
      </w:r>
      <w:r w:rsidRPr="00580BD2">
        <w:rPr>
          <w:rFonts w:cs="Arial"/>
          <w:sz w:val="24"/>
          <w:szCs w:val="24"/>
        </w:rPr>
        <w:t xml:space="preserve"> National Statistics</w:t>
      </w:r>
    </w:p>
    <w:p w14:paraId="36C6B5F9" w14:textId="77777777" w:rsidR="006A38BB" w:rsidRPr="00580BD2" w:rsidRDefault="006A38BB" w:rsidP="006A38BB">
      <w:pPr>
        <w:rPr>
          <w:rFonts w:cs="Arial"/>
          <w:sz w:val="24"/>
          <w:szCs w:val="24"/>
        </w:rPr>
      </w:pPr>
    </w:p>
    <w:p w14:paraId="003FE78E" w14:textId="6B0E6594" w:rsidR="006A38BB" w:rsidRDefault="006A38BB" w:rsidP="006A38BB">
      <w:pPr>
        <w:rPr>
          <w:rFonts w:cs="Arial"/>
          <w:sz w:val="24"/>
          <w:szCs w:val="24"/>
        </w:rPr>
      </w:pPr>
      <w:r w:rsidRPr="00580BD2">
        <w:rPr>
          <w:rFonts w:cs="Arial"/>
          <w:sz w:val="24"/>
          <w:szCs w:val="24"/>
        </w:rPr>
        <w:t>Of the 1,690 births to non-UK born mothers in Sandwell for 2018, 51% (868) were to mothers born in the Middle East and Asia and 26% (437) were to mothers born in the European Union. The lowest proportion of live births for non-UK born mothers were Africa (16%) and Rest of the world (5%) (Figure 1</w:t>
      </w:r>
      <w:r w:rsidR="00A60067">
        <w:rPr>
          <w:rFonts w:cs="Arial"/>
          <w:sz w:val="24"/>
          <w:szCs w:val="24"/>
        </w:rPr>
        <w:t>.</w:t>
      </w:r>
      <w:r w:rsidR="007453E5">
        <w:rPr>
          <w:rFonts w:cs="Arial"/>
          <w:sz w:val="24"/>
          <w:szCs w:val="24"/>
        </w:rPr>
        <w:t>10</w:t>
      </w:r>
      <w:r w:rsidRPr="00580BD2">
        <w:rPr>
          <w:rFonts w:cs="Arial"/>
          <w:sz w:val="24"/>
          <w:szCs w:val="24"/>
        </w:rPr>
        <w:t>).</w:t>
      </w:r>
    </w:p>
    <w:p w14:paraId="7EAD7312" w14:textId="77777777" w:rsidR="00522926" w:rsidRPr="00580BD2" w:rsidRDefault="00522926" w:rsidP="006A38BB">
      <w:pPr>
        <w:rPr>
          <w:rFonts w:cs="Arial"/>
          <w:sz w:val="24"/>
          <w:szCs w:val="24"/>
        </w:rPr>
      </w:pPr>
    </w:p>
    <w:p w14:paraId="2E0E68A3" w14:textId="77777777" w:rsidR="00582427" w:rsidRDefault="00582427">
      <w:pPr>
        <w:spacing w:after="160" w:line="259" w:lineRule="auto"/>
        <w:rPr>
          <w:rFonts w:cs="Arial"/>
          <w:b/>
          <w:sz w:val="24"/>
          <w:szCs w:val="24"/>
        </w:rPr>
      </w:pPr>
      <w:r>
        <w:rPr>
          <w:rFonts w:cs="Arial"/>
          <w:b/>
          <w:sz w:val="24"/>
          <w:szCs w:val="24"/>
        </w:rPr>
        <w:br w:type="page"/>
      </w:r>
    </w:p>
    <w:p w14:paraId="2EA2DAC0" w14:textId="25A7B66E" w:rsidR="006A38BB" w:rsidRPr="00580BD2" w:rsidRDefault="006A38BB" w:rsidP="006A38BB">
      <w:pPr>
        <w:rPr>
          <w:rFonts w:cs="Arial"/>
          <w:b/>
          <w:sz w:val="24"/>
          <w:szCs w:val="24"/>
        </w:rPr>
      </w:pPr>
      <w:r w:rsidRPr="00580BD2">
        <w:rPr>
          <w:rFonts w:cs="Arial"/>
          <w:b/>
          <w:sz w:val="24"/>
          <w:szCs w:val="24"/>
        </w:rPr>
        <w:t xml:space="preserve">Figure </w:t>
      </w:r>
      <w:r w:rsidR="00DA1C23">
        <w:rPr>
          <w:rFonts w:cs="Arial"/>
          <w:b/>
          <w:sz w:val="24"/>
          <w:szCs w:val="24"/>
        </w:rPr>
        <w:t>1.</w:t>
      </w:r>
      <w:r w:rsidR="007453E5">
        <w:rPr>
          <w:rFonts w:cs="Arial"/>
          <w:b/>
          <w:sz w:val="24"/>
          <w:szCs w:val="24"/>
        </w:rPr>
        <w:t>10</w:t>
      </w:r>
      <w:r w:rsidRPr="00580BD2">
        <w:rPr>
          <w:rFonts w:cs="Arial"/>
          <w:b/>
          <w:sz w:val="24"/>
          <w:szCs w:val="24"/>
        </w:rPr>
        <w:t xml:space="preserve">: Percentage of </w:t>
      </w:r>
      <w:r w:rsidR="00522926">
        <w:rPr>
          <w:rFonts w:cs="Arial"/>
          <w:b/>
          <w:sz w:val="24"/>
          <w:szCs w:val="24"/>
        </w:rPr>
        <w:t>l</w:t>
      </w:r>
      <w:r w:rsidRPr="00580BD2">
        <w:rPr>
          <w:rFonts w:cs="Arial"/>
          <w:b/>
          <w:sz w:val="24"/>
          <w:szCs w:val="24"/>
        </w:rPr>
        <w:t xml:space="preserve">ive </w:t>
      </w:r>
      <w:r w:rsidR="00522926">
        <w:rPr>
          <w:rFonts w:cs="Arial"/>
          <w:b/>
          <w:sz w:val="24"/>
          <w:szCs w:val="24"/>
        </w:rPr>
        <w:t>b</w:t>
      </w:r>
      <w:r w:rsidRPr="00580BD2">
        <w:rPr>
          <w:rFonts w:cs="Arial"/>
          <w:b/>
          <w:sz w:val="24"/>
          <w:szCs w:val="24"/>
        </w:rPr>
        <w:t xml:space="preserve">irths for </w:t>
      </w:r>
      <w:r w:rsidR="00522926">
        <w:rPr>
          <w:rFonts w:cs="Arial"/>
          <w:b/>
          <w:sz w:val="24"/>
          <w:szCs w:val="24"/>
        </w:rPr>
        <w:t>n</w:t>
      </w:r>
      <w:r w:rsidRPr="00580BD2">
        <w:rPr>
          <w:rFonts w:cs="Arial"/>
          <w:b/>
          <w:sz w:val="24"/>
          <w:szCs w:val="24"/>
        </w:rPr>
        <w:t>on-UK born mothers</w:t>
      </w:r>
      <w:r w:rsidR="00522926">
        <w:rPr>
          <w:rFonts w:cs="Arial"/>
          <w:b/>
          <w:sz w:val="24"/>
          <w:szCs w:val="24"/>
        </w:rPr>
        <w:t>: Sandwell</w:t>
      </w:r>
      <w:r w:rsidRPr="00580BD2">
        <w:rPr>
          <w:rFonts w:cs="Arial"/>
          <w:b/>
          <w:sz w:val="24"/>
          <w:szCs w:val="24"/>
        </w:rPr>
        <w:t xml:space="preserve"> 2018</w:t>
      </w:r>
    </w:p>
    <w:p w14:paraId="38AEB904" w14:textId="77777777" w:rsidR="006A38BB" w:rsidRPr="00580BD2" w:rsidRDefault="006A38BB" w:rsidP="006A38BB">
      <w:pPr>
        <w:rPr>
          <w:rFonts w:cs="Arial"/>
          <w:b/>
          <w:sz w:val="24"/>
          <w:szCs w:val="24"/>
        </w:rPr>
      </w:pPr>
      <w:r w:rsidRPr="00580BD2">
        <w:rPr>
          <w:noProof/>
          <w:sz w:val="24"/>
          <w:szCs w:val="24"/>
        </w:rPr>
        <w:drawing>
          <wp:inline distT="0" distB="0" distL="0" distR="0" wp14:anchorId="500E3FF0" wp14:editId="6882FC21">
            <wp:extent cx="5143500" cy="2647950"/>
            <wp:effectExtent l="0" t="0" r="0" b="0"/>
            <wp:docPr id="52" name="Chart 52">
              <a:extLst xmlns:a="http://schemas.openxmlformats.org/drawingml/2006/main">
                <a:ext uri="{FF2B5EF4-FFF2-40B4-BE49-F238E27FC236}">
                  <a16:creationId xmlns:a16="http://schemas.microsoft.com/office/drawing/2014/main" id="{7A1C3FE2-7086-4460-8FBA-C08D2509A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FC9856" w14:textId="005B59EC" w:rsidR="006A38BB" w:rsidRPr="00522926" w:rsidRDefault="00522926" w:rsidP="006A38BB">
      <w:pPr>
        <w:rPr>
          <w:rFonts w:cs="Arial"/>
          <w:sz w:val="24"/>
          <w:szCs w:val="24"/>
        </w:rPr>
      </w:pPr>
      <w:r w:rsidRPr="00522926">
        <w:rPr>
          <w:rFonts w:cs="Arial"/>
          <w:sz w:val="24"/>
          <w:szCs w:val="24"/>
        </w:rPr>
        <w:t>Source: Office for National Statistics</w:t>
      </w:r>
    </w:p>
    <w:p w14:paraId="6055213E" w14:textId="77777777" w:rsidR="00582427" w:rsidRDefault="00582427" w:rsidP="005B1F6D">
      <w:pPr>
        <w:pStyle w:val="Heading2"/>
      </w:pPr>
    </w:p>
    <w:p w14:paraId="55A1AE63" w14:textId="1118E043" w:rsidR="00B3562C" w:rsidRPr="00964810" w:rsidRDefault="00B3562C" w:rsidP="005B1F6D">
      <w:pPr>
        <w:pStyle w:val="Heading2"/>
      </w:pPr>
      <w:r w:rsidRPr="00964810">
        <w:t xml:space="preserve">Births to mothers from </w:t>
      </w:r>
      <w:r w:rsidR="00303F31">
        <w:t>BAME</w:t>
      </w:r>
      <w:r w:rsidRPr="00964810">
        <w:t xml:space="preserve"> groups in Sandwell</w:t>
      </w:r>
    </w:p>
    <w:p w14:paraId="774B916B" w14:textId="77777777" w:rsidR="004A272B" w:rsidRDefault="004A272B" w:rsidP="004A272B">
      <w:pPr>
        <w:spacing w:after="240" w:line="240" w:lineRule="auto"/>
        <w:rPr>
          <w:rFonts w:eastAsia="Times New Roman" w:cstheme="minorHAnsi"/>
          <w:sz w:val="24"/>
          <w:szCs w:val="24"/>
          <w:lang w:val="en" w:eastAsia="en-GB"/>
        </w:rPr>
      </w:pPr>
      <w:r w:rsidRPr="00C004E5">
        <w:rPr>
          <w:rFonts w:eastAsia="Times New Roman" w:cstheme="minorHAnsi"/>
          <w:sz w:val="24"/>
          <w:szCs w:val="24"/>
          <w:lang w:val="en" w:eastAsia="en-GB"/>
        </w:rPr>
        <w:t>Black, Asian and Minority Ethnic women and children have an increased risk of some poor outcomes:</w:t>
      </w:r>
    </w:p>
    <w:p w14:paraId="1B7E1E68" w14:textId="77777777" w:rsidR="001306B5" w:rsidRDefault="004A272B" w:rsidP="00B13D4A">
      <w:pPr>
        <w:pStyle w:val="ListParagraph"/>
        <w:numPr>
          <w:ilvl w:val="0"/>
          <w:numId w:val="13"/>
        </w:numPr>
        <w:autoSpaceDE w:val="0"/>
        <w:autoSpaceDN w:val="0"/>
        <w:adjustRightInd w:val="0"/>
        <w:spacing w:line="240" w:lineRule="auto"/>
        <w:ind w:left="714" w:hanging="357"/>
        <w:contextualSpacing w:val="0"/>
        <w:rPr>
          <w:rFonts w:eastAsia="Times New Roman" w:cstheme="minorHAnsi"/>
          <w:sz w:val="24"/>
          <w:szCs w:val="24"/>
          <w:lang w:val="en" w:eastAsia="en-GB"/>
        </w:rPr>
      </w:pPr>
      <w:r w:rsidRPr="001306B5">
        <w:rPr>
          <w:rFonts w:eastAsia="Times New Roman" w:cstheme="minorHAnsi"/>
          <w:sz w:val="24"/>
          <w:szCs w:val="24"/>
          <w:lang w:val="en" w:eastAsia="en-GB"/>
        </w:rPr>
        <w:t>stillbirth – babies of Afro-Caribbean and African mothers have more than double the risk of stillbirth, and babies of Indian, Bangladeshi and Pakistani mothers have an increased risk, compared with babies of White mothers (CMACE, 2011; Gardosi, 2013)</w:t>
      </w:r>
    </w:p>
    <w:p w14:paraId="5DEC7896" w14:textId="3507057A" w:rsidR="00C80B18" w:rsidRPr="001306B5" w:rsidRDefault="0082423F" w:rsidP="00B13D4A">
      <w:pPr>
        <w:pStyle w:val="ListParagraph"/>
        <w:numPr>
          <w:ilvl w:val="0"/>
          <w:numId w:val="13"/>
        </w:numPr>
        <w:autoSpaceDE w:val="0"/>
        <w:autoSpaceDN w:val="0"/>
        <w:adjustRightInd w:val="0"/>
        <w:spacing w:line="240" w:lineRule="auto"/>
        <w:ind w:left="714" w:hanging="357"/>
        <w:contextualSpacing w:val="0"/>
        <w:rPr>
          <w:rFonts w:eastAsia="Times New Roman" w:cstheme="minorHAnsi"/>
          <w:sz w:val="24"/>
          <w:szCs w:val="24"/>
          <w:lang w:val="en" w:eastAsia="en-GB"/>
        </w:rPr>
      </w:pPr>
      <w:r w:rsidRPr="001306B5">
        <w:rPr>
          <w:rFonts w:eastAsiaTheme="minorHAnsi" w:cstheme="minorHAnsi"/>
          <w:sz w:val="24"/>
          <w:szCs w:val="24"/>
        </w:rPr>
        <w:t>a</w:t>
      </w:r>
      <w:r w:rsidR="00C80B18" w:rsidRPr="001306B5">
        <w:rPr>
          <w:rFonts w:eastAsiaTheme="minorHAnsi" w:cstheme="minorHAnsi"/>
          <w:sz w:val="24"/>
          <w:szCs w:val="24"/>
        </w:rPr>
        <w:t xml:space="preserve"> study to compare mean birth weights and gestational age at delivery of infants born to mothers in Luton, UK</w:t>
      </w:r>
      <w:r w:rsidR="002A210A" w:rsidRPr="001306B5">
        <w:rPr>
          <w:rFonts w:eastAsiaTheme="minorHAnsi" w:cstheme="minorHAnsi"/>
          <w:sz w:val="24"/>
          <w:szCs w:val="24"/>
        </w:rPr>
        <w:t>,</w:t>
      </w:r>
      <w:r w:rsidR="00C80B18" w:rsidRPr="001306B5">
        <w:rPr>
          <w:rFonts w:eastAsiaTheme="minorHAnsi" w:cstheme="minorHAnsi"/>
          <w:sz w:val="24"/>
          <w:szCs w:val="24"/>
        </w:rPr>
        <w:t xml:space="preserve"> found</w:t>
      </w:r>
      <w:r w:rsidR="000C576C" w:rsidRPr="001306B5">
        <w:rPr>
          <w:rFonts w:eastAsiaTheme="minorHAnsi" w:cstheme="minorHAnsi"/>
          <w:sz w:val="24"/>
          <w:szCs w:val="24"/>
        </w:rPr>
        <w:t xml:space="preserve"> important differences in adjusted mean birth weight between Indian, Pakistani, Bangladeshi and white British women.</w:t>
      </w:r>
      <w:r w:rsidRPr="001306B5">
        <w:rPr>
          <w:rFonts w:eastAsiaTheme="minorHAnsi" w:cstheme="minorHAnsi"/>
          <w:sz w:val="24"/>
          <w:szCs w:val="24"/>
        </w:rPr>
        <w:t xml:space="preserve"> </w:t>
      </w:r>
      <w:r w:rsidRPr="001306B5">
        <w:rPr>
          <w:rFonts w:eastAsiaTheme="minorHAnsi" w:cstheme="minorHAnsi"/>
          <w:color w:val="000000"/>
          <w:sz w:val="24"/>
          <w:szCs w:val="24"/>
        </w:rPr>
        <w:t xml:space="preserve">The results showed that </w:t>
      </w:r>
      <w:r w:rsidR="002A210A" w:rsidRPr="001306B5">
        <w:rPr>
          <w:rFonts w:eastAsiaTheme="minorHAnsi" w:cstheme="minorHAnsi"/>
          <w:color w:val="000000"/>
          <w:sz w:val="24"/>
          <w:szCs w:val="24"/>
        </w:rPr>
        <w:t xml:space="preserve">white </w:t>
      </w:r>
      <w:r w:rsidRPr="001306B5">
        <w:rPr>
          <w:rFonts w:eastAsiaTheme="minorHAnsi" w:cstheme="minorHAnsi"/>
          <w:color w:val="000000"/>
          <w:sz w:val="24"/>
          <w:szCs w:val="24"/>
        </w:rPr>
        <w:t>B</w:t>
      </w:r>
      <w:r w:rsidR="002A210A" w:rsidRPr="001306B5">
        <w:rPr>
          <w:rFonts w:eastAsiaTheme="minorHAnsi" w:cstheme="minorHAnsi"/>
          <w:color w:val="000000"/>
          <w:sz w:val="24"/>
          <w:szCs w:val="24"/>
        </w:rPr>
        <w:t>ritish</w:t>
      </w:r>
      <w:r w:rsidRPr="001306B5">
        <w:rPr>
          <w:rFonts w:eastAsiaTheme="minorHAnsi" w:cstheme="minorHAnsi"/>
          <w:color w:val="000000"/>
          <w:sz w:val="24"/>
          <w:szCs w:val="24"/>
        </w:rPr>
        <w:t xml:space="preserve"> </w:t>
      </w:r>
      <w:r w:rsidR="001306B5">
        <w:rPr>
          <w:rFonts w:eastAsiaTheme="minorHAnsi" w:cstheme="minorHAnsi"/>
          <w:color w:val="000000"/>
          <w:sz w:val="24"/>
          <w:szCs w:val="24"/>
        </w:rPr>
        <w:t xml:space="preserve">babies weighed 307.65g more than </w:t>
      </w:r>
      <w:r w:rsidRPr="001306B5">
        <w:rPr>
          <w:rFonts w:eastAsiaTheme="minorHAnsi" w:cstheme="minorHAnsi"/>
          <w:color w:val="000000"/>
          <w:sz w:val="24"/>
          <w:szCs w:val="24"/>
        </w:rPr>
        <w:t xml:space="preserve">Bangladeshi infants. </w:t>
      </w:r>
      <w:r w:rsidR="002A210A" w:rsidRPr="001306B5">
        <w:rPr>
          <w:rFonts w:eastAsiaTheme="minorHAnsi" w:cstheme="minorHAnsi"/>
          <w:color w:val="000000"/>
          <w:sz w:val="24"/>
          <w:szCs w:val="24"/>
        </w:rPr>
        <w:t>A sm</w:t>
      </w:r>
      <w:r w:rsidRPr="001306B5">
        <w:rPr>
          <w:rFonts w:eastAsiaTheme="minorHAnsi" w:cstheme="minorHAnsi"/>
          <w:color w:val="000000"/>
          <w:sz w:val="24"/>
          <w:szCs w:val="24"/>
        </w:rPr>
        <w:t xml:space="preserve">all difference </w:t>
      </w:r>
      <w:r w:rsidR="002A210A" w:rsidRPr="001306B5">
        <w:rPr>
          <w:rFonts w:eastAsiaTheme="minorHAnsi" w:cstheme="minorHAnsi"/>
          <w:color w:val="000000"/>
          <w:sz w:val="24"/>
          <w:szCs w:val="24"/>
        </w:rPr>
        <w:t>(</w:t>
      </w:r>
      <w:r w:rsidRPr="001306B5">
        <w:rPr>
          <w:rFonts w:eastAsiaTheme="minorHAnsi" w:cstheme="minorHAnsi"/>
          <w:color w:val="000000"/>
          <w:sz w:val="24"/>
          <w:szCs w:val="24"/>
        </w:rPr>
        <w:t>57.63 to 62.7g</w:t>
      </w:r>
      <w:r w:rsidR="002A210A" w:rsidRPr="001306B5">
        <w:rPr>
          <w:rFonts w:eastAsiaTheme="minorHAnsi" w:cstheme="minorHAnsi"/>
          <w:color w:val="000000"/>
          <w:sz w:val="24"/>
          <w:szCs w:val="24"/>
        </w:rPr>
        <w:t>)</w:t>
      </w:r>
      <w:r w:rsidRPr="001306B5">
        <w:rPr>
          <w:rFonts w:eastAsiaTheme="minorHAnsi" w:cstheme="minorHAnsi"/>
          <w:color w:val="000000"/>
          <w:sz w:val="24"/>
          <w:szCs w:val="24"/>
        </w:rPr>
        <w:t xml:space="preserve"> was also identified between Indian, Bangladeshi and Pakistani infants</w:t>
      </w:r>
      <w:r w:rsidR="00B96329" w:rsidRPr="001306B5">
        <w:rPr>
          <w:rFonts w:eastAsiaTheme="minorHAnsi" w:cstheme="minorHAnsi"/>
          <w:color w:val="000000"/>
          <w:sz w:val="24"/>
          <w:szCs w:val="24"/>
        </w:rPr>
        <w:t xml:space="preserve"> (</w:t>
      </w:r>
      <w:r w:rsidR="00B96329" w:rsidRPr="001306B5">
        <w:rPr>
          <w:rFonts w:eastAsiaTheme="minorHAnsi" w:cstheme="minorHAnsi"/>
          <w:sz w:val="24"/>
          <w:szCs w:val="24"/>
        </w:rPr>
        <w:t>Garcia R, Ali N,</w:t>
      </w:r>
      <w:r w:rsidR="001306B5" w:rsidRPr="001306B5">
        <w:rPr>
          <w:rFonts w:eastAsiaTheme="minorHAnsi" w:cstheme="minorHAnsi"/>
          <w:sz w:val="24"/>
          <w:szCs w:val="24"/>
        </w:rPr>
        <w:t xml:space="preserve"> </w:t>
      </w:r>
      <w:r w:rsidR="00B96329" w:rsidRPr="001306B5">
        <w:rPr>
          <w:rFonts w:eastAsiaTheme="minorHAnsi" w:cstheme="minorHAnsi"/>
          <w:sz w:val="24"/>
          <w:szCs w:val="24"/>
        </w:rPr>
        <w:t xml:space="preserve">Guppy A, </w:t>
      </w:r>
      <w:r w:rsidR="00B96329" w:rsidRPr="001306B5">
        <w:rPr>
          <w:rFonts w:eastAsiaTheme="minorHAnsi" w:cstheme="minorHAnsi"/>
          <w:i/>
          <w:iCs/>
          <w:sz w:val="24"/>
          <w:szCs w:val="24"/>
        </w:rPr>
        <w:t>et al</w:t>
      </w:r>
      <w:r w:rsidR="00B96329" w:rsidRPr="001306B5">
        <w:rPr>
          <w:rFonts w:eastAsiaTheme="minorHAnsi" w:cstheme="minorHAnsi"/>
          <w:sz w:val="24"/>
          <w:szCs w:val="24"/>
        </w:rPr>
        <w:t>. 2017</w:t>
      </w:r>
      <w:r w:rsidR="001306B5" w:rsidRPr="001306B5">
        <w:rPr>
          <w:rFonts w:eastAsiaTheme="minorHAnsi" w:cstheme="minorHAnsi"/>
          <w:sz w:val="24"/>
          <w:szCs w:val="24"/>
        </w:rPr>
        <w:t>)</w:t>
      </w:r>
    </w:p>
    <w:p w14:paraId="44586CCF" w14:textId="77777777" w:rsidR="004A272B" w:rsidRPr="004A272B" w:rsidRDefault="004A272B" w:rsidP="00B13D4A">
      <w:pPr>
        <w:pStyle w:val="ListParagraph"/>
        <w:numPr>
          <w:ilvl w:val="0"/>
          <w:numId w:val="13"/>
        </w:numPr>
        <w:spacing w:before="100" w:beforeAutospacing="1" w:line="240" w:lineRule="auto"/>
        <w:ind w:left="714" w:hanging="357"/>
        <w:contextualSpacing w:val="0"/>
        <w:rPr>
          <w:rFonts w:eastAsia="Times New Roman" w:cstheme="minorHAnsi"/>
          <w:sz w:val="24"/>
          <w:szCs w:val="24"/>
          <w:lang w:val="en" w:eastAsia="en-GB"/>
        </w:rPr>
      </w:pPr>
      <w:r w:rsidRPr="004A272B">
        <w:rPr>
          <w:rFonts w:eastAsia="Times New Roman" w:cstheme="minorHAnsi"/>
          <w:sz w:val="24"/>
          <w:szCs w:val="24"/>
          <w:lang w:val="en" w:eastAsia="en-GB"/>
        </w:rPr>
        <w:t>preterm birth – babies of Afro-Caribbean and African mothers are at increased risk compared to babies of mothers of other ethnic origins (Aveyard et al, 2002; Office for National Statistics, 2016)</w:t>
      </w:r>
    </w:p>
    <w:p w14:paraId="6FD47084" w14:textId="4B137FAB" w:rsidR="00D66736" w:rsidRPr="00354021" w:rsidRDefault="00354021" w:rsidP="00B13D4A">
      <w:pPr>
        <w:pStyle w:val="ListParagraph"/>
        <w:numPr>
          <w:ilvl w:val="0"/>
          <w:numId w:val="13"/>
        </w:numPr>
        <w:autoSpaceDE w:val="0"/>
        <w:autoSpaceDN w:val="0"/>
        <w:adjustRightInd w:val="0"/>
        <w:spacing w:before="100" w:beforeAutospacing="1" w:line="240" w:lineRule="auto"/>
        <w:ind w:left="714" w:hanging="357"/>
        <w:contextualSpacing w:val="0"/>
        <w:rPr>
          <w:rFonts w:eastAsiaTheme="minorHAnsi" w:cstheme="minorHAnsi"/>
          <w:sz w:val="24"/>
          <w:szCs w:val="24"/>
        </w:rPr>
      </w:pPr>
      <w:r>
        <w:rPr>
          <w:rFonts w:ascii="Arial" w:eastAsiaTheme="minorHAnsi" w:hAnsi="Arial" w:cs="Arial"/>
          <w:color w:val="000000"/>
        </w:rPr>
        <w:t>t</w:t>
      </w:r>
      <w:r w:rsidRPr="00354021">
        <w:rPr>
          <w:rFonts w:eastAsiaTheme="minorHAnsi" w:cstheme="minorHAnsi"/>
          <w:color w:val="000000"/>
          <w:sz w:val="24"/>
          <w:szCs w:val="24"/>
        </w:rPr>
        <w:t>he Born in Bradford study found that congenital abnormalities were more common in babies born to mothers of Pakistani origin (5%) than in those born to white British mothers (2%) or mothers of other ethnicities (3%)</w:t>
      </w:r>
      <w:r w:rsidR="00FB1780" w:rsidRPr="00354021">
        <w:rPr>
          <w:rFonts w:eastAsiaTheme="minorHAnsi" w:cstheme="minorHAnsi"/>
          <w:color w:val="000000"/>
          <w:sz w:val="24"/>
          <w:szCs w:val="24"/>
        </w:rPr>
        <w:t xml:space="preserve"> (</w:t>
      </w:r>
      <w:r w:rsidRPr="00354021">
        <w:rPr>
          <w:rFonts w:eastAsiaTheme="minorHAnsi" w:cstheme="minorHAnsi"/>
          <w:color w:val="000000"/>
          <w:sz w:val="24"/>
          <w:szCs w:val="24"/>
        </w:rPr>
        <w:t>NICE, 2014)</w:t>
      </w:r>
    </w:p>
    <w:p w14:paraId="7D061136" w14:textId="02AE5030" w:rsidR="00B3562C" w:rsidRPr="00D66736" w:rsidRDefault="00D66736" w:rsidP="00B13D4A">
      <w:pPr>
        <w:pStyle w:val="ListParagraph"/>
        <w:numPr>
          <w:ilvl w:val="0"/>
          <w:numId w:val="13"/>
        </w:numPr>
        <w:autoSpaceDE w:val="0"/>
        <w:autoSpaceDN w:val="0"/>
        <w:adjustRightInd w:val="0"/>
        <w:spacing w:before="100" w:beforeAutospacing="1" w:line="240" w:lineRule="auto"/>
        <w:ind w:left="714" w:hanging="357"/>
        <w:contextualSpacing w:val="0"/>
        <w:rPr>
          <w:rFonts w:cstheme="majorHAnsi"/>
          <w:sz w:val="24"/>
          <w:szCs w:val="24"/>
        </w:rPr>
      </w:pPr>
      <w:r w:rsidRPr="00D66736">
        <w:rPr>
          <w:rFonts w:eastAsiaTheme="minorHAnsi" w:cstheme="minorHAnsi"/>
          <w:sz w:val="24"/>
          <w:szCs w:val="24"/>
        </w:rPr>
        <w:t xml:space="preserve">Black women </w:t>
      </w:r>
      <w:r>
        <w:rPr>
          <w:rFonts w:eastAsiaTheme="minorHAnsi" w:cstheme="minorHAnsi"/>
          <w:sz w:val="24"/>
          <w:szCs w:val="24"/>
        </w:rPr>
        <w:t>are five</w:t>
      </w:r>
      <w:r w:rsidRPr="00D66736">
        <w:rPr>
          <w:rFonts w:eastAsiaTheme="minorHAnsi" w:cstheme="minorHAnsi"/>
          <w:sz w:val="24"/>
          <w:szCs w:val="24"/>
        </w:rPr>
        <w:t xml:space="preserve"> times more likely to die during pregnancy and childbirth than white women, </w:t>
      </w:r>
      <w:r>
        <w:rPr>
          <w:rFonts w:eastAsiaTheme="minorHAnsi" w:cstheme="minorHAnsi"/>
          <w:sz w:val="24"/>
          <w:szCs w:val="24"/>
        </w:rPr>
        <w:t xml:space="preserve">whilst </w:t>
      </w:r>
      <w:r w:rsidRPr="00D66736">
        <w:rPr>
          <w:rFonts w:eastAsiaTheme="minorHAnsi" w:cstheme="minorHAnsi"/>
          <w:sz w:val="24"/>
          <w:szCs w:val="24"/>
        </w:rPr>
        <w:t>Asian women twice as likely to die during pregnancy and</w:t>
      </w:r>
      <w:r>
        <w:rPr>
          <w:rFonts w:eastAsiaTheme="minorHAnsi" w:cstheme="minorHAnsi"/>
          <w:sz w:val="24"/>
          <w:szCs w:val="24"/>
        </w:rPr>
        <w:t xml:space="preserve"> </w:t>
      </w:r>
      <w:r w:rsidRPr="00D66736">
        <w:rPr>
          <w:rFonts w:eastAsiaTheme="minorHAnsi" w:cstheme="minorHAnsi"/>
          <w:sz w:val="24"/>
          <w:szCs w:val="24"/>
        </w:rPr>
        <w:t>childbirth than white women</w:t>
      </w:r>
      <w:r w:rsidR="004A272B" w:rsidRPr="00D66736">
        <w:rPr>
          <w:rFonts w:eastAsia="Times New Roman" w:cstheme="minorHAnsi"/>
          <w:sz w:val="24"/>
          <w:szCs w:val="24"/>
          <w:lang w:val="en" w:eastAsia="en-GB"/>
        </w:rPr>
        <w:t xml:space="preserve"> (</w:t>
      </w:r>
      <w:r>
        <w:rPr>
          <w:rFonts w:eastAsia="Times New Roman" w:cstheme="minorHAnsi"/>
          <w:sz w:val="24"/>
          <w:szCs w:val="24"/>
          <w:lang w:val="en" w:eastAsia="en-GB"/>
        </w:rPr>
        <w:t>Seals Allers, 201</w:t>
      </w:r>
      <w:r w:rsidR="004A272B" w:rsidRPr="00D66736">
        <w:rPr>
          <w:rFonts w:eastAsia="Times New Roman" w:cstheme="minorHAnsi"/>
          <w:sz w:val="24"/>
          <w:szCs w:val="24"/>
          <w:lang w:val="en" w:eastAsia="en-GB"/>
        </w:rPr>
        <w:t>9)</w:t>
      </w:r>
    </w:p>
    <w:p w14:paraId="6C050C79" w14:textId="1DB39159" w:rsidR="0076744B" w:rsidRPr="0076744B" w:rsidRDefault="0076744B" w:rsidP="0076744B">
      <w:pPr>
        <w:spacing w:before="100" w:beforeAutospacing="1" w:after="100" w:afterAutospacing="1" w:line="240" w:lineRule="auto"/>
        <w:rPr>
          <w:rFonts w:cstheme="majorHAnsi"/>
          <w:b/>
          <w:sz w:val="24"/>
          <w:szCs w:val="24"/>
        </w:rPr>
      </w:pPr>
      <w:r w:rsidRPr="0076744B">
        <w:rPr>
          <w:rFonts w:cstheme="majorHAnsi"/>
          <w:b/>
          <w:sz w:val="24"/>
          <w:szCs w:val="24"/>
        </w:rPr>
        <w:t xml:space="preserve">Figure </w:t>
      </w:r>
      <w:r w:rsidR="00DA1C23">
        <w:rPr>
          <w:rFonts w:cstheme="majorHAnsi"/>
          <w:b/>
          <w:sz w:val="24"/>
          <w:szCs w:val="24"/>
        </w:rPr>
        <w:t>1.</w:t>
      </w:r>
      <w:r w:rsidR="007453E5">
        <w:rPr>
          <w:rFonts w:cstheme="majorHAnsi"/>
          <w:b/>
          <w:sz w:val="24"/>
          <w:szCs w:val="24"/>
        </w:rPr>
        <w:t>11</w:t>
      </w:r>
      <w:r w:rsidRPr="0076744B">
        <w:rPr>
          <w:rFonts w:cstheme="majorHAnsi"/>
          <w:b/>
          <w:sz w:val="24"/>
          <w:szCs w:val="24"/>
        </w:rPr>
        <w:t>:</w:t>
      </w:r>
      <w:r w:rsidR="00AB5EC2">
        <w:rPr>
          <w:rFonts w:cstheme="majorHAnsi"/>
          <w:b/>
          <w:sz w:val="24"/>
          <w:szCs w:val="24"/>
        </w:rPr>
        <w:t xml:space="preserve"> Percentage of deliveries to mothers from Black &amp; Minority Ethnic (</w:t>
      </w:r>
      <w:r w:rsidR="0037352E">
        <w:rPr>
          <w:rFonts w:cstheme="majorHAnsi"/>
          <w:b/>
          <w:sz w:val="24"/>
          <w:szCs w:val="24"/>
        </w:rPr>
        <w:t xml:space="preserve">BME)  </w:t>
      </w:r>
      <w:r w:rsidR="00AB5EC2">
        <w:rPr>
          <w:rFonts w:cstheme="majorHAnsi"/>
          <w:b/>
          <w:sz w:val="24"/>
          <w:szCs w:val="24"/>
        </w:rPr>
        <w:t xml:space="preserve">    groups for Sandwell</w:t>
      </w:r>
    </w:p>
    <w:p w14:paraId="6CCF2FD6" w14:textId="77777777" w:rsidR="00B3562C" w:rsidRPr="00580BD2" w:rsidRDefault="00B3562C" w:rsidP="00B3562C">
      <w:pPr>
        <w:rPr>
          <w:rFonts w:cstheme="majorHAnsi"/>
          <w:sz w:val="24"/>
          <w:szCs w:val="24"/>
        </w:rPr>
      </w:pPr>
      <w:r w:rsidRPr="00580BD2">
        <w:rPr>
          <w:rFonts w:cstheme="majorHAnsi"/>
          <w:noProof/>
          <w:sz w:val="24"/>
          <w:szCs w:val="24"/>
        </w:rPr>
        <w:drawing>
          <wp:inline distT="0" distB="0" distL="0" distR="0" wp14:anchorId="3699CDF7" wp14:editId="6155B482">
            <wp:extent cx="6180269" cy="2998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90550" cy="3003911"/>
                    </a:xfrm>
                    <a:prstGeom prst="rect">
                      <a:avLst/>
                    </a:prstGeom>
                  </pic:spPr>
                </pic:pic>
              </a:graphicData>
            </a:graphic>
          </wp:inline>
        </w:drawing>
      </w:r>
    </w:p>
    <w:p w14:paraId="636B223F" w14:textId="77777777" w:rsidR="0051082A" w:rsidRPr="00580BD2" w:rsidRDefault="00FA246A" w:rsidP="00C1797B">
      <w:pPr>
        <w:rPr>
          <w:rFonts w:cstheme="majorHAnsi"/>
          <w:b/>
          <w:sz w:val="24"/>
          <w:szCs w:val="24"/>
          <w:u w:val="single"/>
        </w:rPr>
      </w:pPr>
      <w:r w:rsidRPr="004E1474">
        <w:rPr>
          <w:rFonts w:cstheme="majorHAnsi"/>
          <w:sz w:val="24"/>
          <w:szCs w:val="24"/>
        </w:rPr>
        <w:t>Source: Public</w:t>
      </w:r>
      <w:r w:rsidR="0051082A" w:rsidRPr="00580BD2">
        <w:rPr>
          <w:rFonts w:cstheme="majorHAnsi"/>
          <w:sz w:val="24"/>
          <w:szCs w:val="24"/>
        </w:rPr>
        <w:t xml:space="preserve"> Health England Profiles</w:t>
      </w:r>
    </w:p>
    <w:p w14:paraId="5B15FC6B" w14:textId="77777777" w:rsidR="00582427" w:rsidRDefault="00582427" w:rsidP="00371503">
      <w:pPr>
        <w:rPr>
          <w:rFonts w:cstheme="majorHAnsi"/>
          <w:sz w:val="24"/>
          <w:szCs w:val="24"/>
        </w:rPr>
      </w:pPr>
    </w:p>
    <w:p w14:paraId="47E534B0" w14:textId="68C631D4" w:rsidR="00B3562C" w:rsidRPr="00371503" w:rsidRDefault="00371503" w:rsidP="00371503">
      <w:pPr>
        <w:rPr>
          <w:rFonts w:cstheme="majorHAnsi"/>
          <w:sz w:val="24"/>
          <w:szCs w:val="24"/>
        </w:rPr>
      </w:pPr>
      <w:r>
        <w:rPr>
          <w:rFonts w:cstheme="majorHAnsi"/>
          <w:sz w:val="24"/>
          <w:szCs w:val="24"/>
        </w:rPr>
        <w:t>There is an i</w:t>
      </w:r>
      <w:r w:rsidR="00B3562C" w:rsidRPr="00371503">
        <w:rPr>
          <w:rFonts w:cstheme="majorHAnsi"/>
          <w:sz w:val="24"/>
          <w:szCs w:val="24"/>
        </w:rPr>
        <w:t xml:space="preserve">ncreasing </w:t>
      </w:r>
      <w:r w:rsidR="00F62D77" w:rsidRPr="00371503">
        <w:rPr>
          <w:rFonts w:cstheme="majorHAnsi"/>
          <w:sz w:val="24"/>
          <w:szCs w:val="24"/>
        </w:rPr>
        <w:t>t</w:t>
      </w:r>
      <w:r w:rsidR="00B3562C" w:rsidRPr="00371503">
        <w:rPr>
          <w:rFonts w:cstheme="majorHAnsi"/>
          <w:sz w:val="24"/>
          <w:szCs w:val="24"/>
        </w:rPr>
        <w:t>rend of deliveries to moth</w:t>
      </w:r>
      <w:r>
        <w:rPr>
          <w:rFonts w:cstheme="majorHAnsi"/>
          <w:sz w:val="24"/>
          <w:szCs w:val="24"/>
        </w:rPr>
        <w:t xml:space="preserve">ers from </w:t>
      </w:r>
      <w:r w:rsidR="00303F31">
        <w:rPr>
          <w:rFonts w:cstheme="majorHAnsi"/>
          <w:sz w:val="24"/>
          <w:szCs w:val="24"/>
        </w:rPr>
        <w:t>BAME</w:t>
      </w:r>
      <w:r>
        <w:rPr>
          <w:rFonts w:cstheme="majorHAnsi"/>
          <w:sz w:val="24"/>
          <w:szCs w:val="24"/>
        </w:rPr>
        <w:t xml:space="preserve"> groups in Sandwell:</w:t>
      </w:r>
    </w:p>
    <w:p w14:paraId="3F2326EB" w14:textId="11CC2A4B" w:rsidR="00B3562C" w:rsidRPr="00580BD2" w:rsidRDefault="00371503" w:rsidP="00B3562C">
      <w:pPr>
        <w:pStyle w:val="ListParagraph"/>
        <w:numPr>
          <w:ilvl w:val="0"/>
          <w:numId w:val="4"/>
        </w:numPr>
        <w:rPr>
          <w:rFonts w:cstheme="majorHAnsi"/>
          <w:sz w:val="24"/>
          <w:szCs w:val="24"/>
        </w:rPr>
      </w:pPr>
      <w:r>
        <w:rPr>
          <w:rFonts w:cstheme="majorHAnsi"/>
          <w:sz w:val="24"/>
          <w:szCs w:val="24"/>
        </w:rPr>
        <w:t>This is s</w:t>
      </w:r>
      <w:r w:rsidR="00B3562C" w:rsidRPr="00580BD2">
        <w:rPr>
          <w:rFonts w:cstheme="majorHAnsi"/>
          <w:sz w:val="24"/>
          <w:szCs w:val="24"/>
        </w:rPr>
        <w:t xml:space="preserve">tatistically </w:t>
      </w:r>
      <w:r w:rsidR="00F62D77">
        <w:rPr>
          <w:rFonts w:cstheme="majorHAnsi"/>
          <w:sz w:val="24"/>
          <w:szCs w:val="24"/>
        </w:rPr>
        <w:t>h</w:t>
      </w:r>
      <w:r w:rsidR="00B3562C" w:rsidRPr="00580BD2">
        <w:rPr>
          <w:rFonts w:cstheme="majorHAnsi"/>
          <w:sz w:val="24"/>
          <w:szCs w:val="24"/>
        </w:rPr>
        <w:t xml:space="preserve">igher than England and West Midlands </w:t>
      </w:r>
    </w:p>
    <w:p w14:paraId="4298DD30" w14:textId="360C3983" w:rsidR="00B3562C" w:rsidRPr="00580BD2" w:rsidRDefault="007E7BFF" w:rsidP="00B3562C">
      <w:pPr>
        <w:pStyle w:val="ListParagraph"/>
        <w:numPr>
          <w:ilvl w:val="0"/>
          <w:numId w:val="4"/>
        </w:numPr>
        <w:rPr>
          <w:rFonts w:cstheme="majorHAnsi"/>
          <w:sz w:val="24"/>
          <w:szCs w:val="24"/>
        </w:rPr>
      </w:pPr>
      <w:r>
        <w:rPr>
          <w:rFonts w:cstheme="majorHAnsi"/>
          <w:sz w:val="24"/>
          <w:szCs w:val="24"/>
        </w:rPr>
        <w:t xml:space="preserve">2020/21 </w:t>
      </w:r>
      <w:r w:rsidR="00515CBB">
        <w:rPr>
          <w:rFonts w:cstheme="majorHAnsi"/>
          <w:sz w:val="24"/>
          <w:szCs w:val="24"/>
        </w:rPr>
        <w:t>rates:</w:t>
      </w:r>
      <w:r w:rsidR="00B3562C" w:rsidRPr="00580BD2">
        <w:rPr>
          <w:rFonts w:cstheme="majorHAnsi"/>
          <w:sz w:val="24"/>
          <w:szCs w:val="24"/>
        </w:rPr>
        <w:t xml:space="preserve"> Sandwell </w:t>
      </w:r>
      <w:r>
        <w:rPr>
          <w:rFonts w:cstheme="majorHAnsi"/>
          <w:sz w:val="24"/>
          <w:szCs w:val="24"/>
        </w:rPr>
        <w:t>44</w:t>
      </w:r>
      <w:r w:rsidR="00B3562C" w:rsidRPr="00580BD2">
        <w:rPr>
          <w:rFonts w:cstheme="majorHAnsi"/>
          <w:sz w:val="24"/>
          <w:szCs w:val="24"/>
        </w:rPr>
        <w:t xml:space="preserve">.3%; England </w:t>
      </w:r>
      <w:r>
        <w:rPr>
          <w:rFonts w:cstheme="majorHAnsi"/>
          <w:sz w:val="24"/>
          <w:szCs w:val="24"/>
        </w:rPr>
        <w:t>21.6</w:t>
      </w:r>
      <w:r w:rsidR="00B3562C" w:rsidRPr="00580BD2">
        <w:rPr>
          <w:rFonts w:cstheme="majorHAnsi"/>
          <w:sz w:val="24"/>
          <w:szCs w:val="24"/>
        </w:rPr>
        <w:t xml:space="preserve">%; West </w:t>
      </w:r>
      <w:r w:rsidR="00F62D77">
        <w:rPr>
          <w:rFonts w:cstheme="majorHAnsi"/>
          <w:sz w:val="24"/>
          <w:szCs w:val="24"/>
        </w:rPr>
        <w:t>M</w:t>
      </w:r>
      <w:r w:rsidR="00B3562C" w:rsidRPr="00580BD2">
        <w:rPr>
          <w:rFonts w:cstheme="majorHAnsi"/>
          <w:sz w:val="24"/>
          <w:szCs w:val="24"/>
        </w:rPr>
        <w:t xml:space="preserve">idlands </w:t>
      </w:r>
      <w:r>
        <w:rPr>
          <w:rFonts w:cstheme="majorHAnsi"/>
          <w:sz w:val="24"/>
          <w:szCs w:val="24"/>
        </w:rPr>
        <w:t>26.5</w:t>
      </w:r>
      <w:r w:rsidR="00B3562C" w:rsidRPr="00580BD2">
        <w:rPr>
          <w:rFonts w:cstheme="majorHAnsi"/>
          <w:sz w:val="24"/>
          <w:szCs w:val="24"/>
        </w:rPr>
        <w:t>%</w:t>
      </w:r>
    </w:p>
    <w:p w14:paraId="7D6A4FC7" w14:textId="7DA9B28A" w:rsidR="00B3562C" w:rsidRPr="00580BD2" w:rsidRDefault="00515CBB" w:rsidP="00B3562C">
      <w:pPr>
        <w:pStyle w:val="ListParagraph"/>
        <w:numPr>
          <w:ilvl w:val="0"/>
          <w:numId w:val="4"/>
        </w:numPr>
        <w:rPr>
          <w:rFonts w:cstheme="majorHAnsi"/>
          <w:sz w:val="24"/>
          <w:szCs w:val="24"/>
        </w:rPr>
      </w:pPr>
      <w:r>
        <w:rPr>
          <w:rFonts w:cstheme="majorHAnsi"/>
          <w:sz w:val="24"/>
          <w:szCs w:val="24"/>
        </w:rPr>
        <w:t xml:space="preserve">In 2020/21 </w:t>
      </w:r>
      <w:r w:rsidR="00B3562C" w:rsidRPr="00580BD2">
        <w:rPr>
          <w:rFonts w:cstheme="majorHAnsi"/>
          <w:sz w:val="24"/>
          <w:szCs w:val="24"/>
        </w:rPr>
        <w:t xml:space="preserve">Sandwell </w:t>
      </w:r>
      <w:r>
        <w:rPr>
          <w:rFonts w:cstheme="majorHAnsi"/>
          <w:sz w:val="24"/>
          <w:szCs w:val="24"/>
        </w:rPr>
        <w:t xml:space="preserve">had the </w:t>
      </w:r>
      <w:r w:rsidR="00B3562C" w:rsidRPr="00580BD2">
        <w:rPr>
          <w:rFonts w:cstheme="majorHAnsi"/>
          <w:sz w:val="24"/>
          <w:szCs w:val="24"/>
        </w:rPr>
        <w:t>2</w:t>
      </w:r>
      <w:r w:rsidR="00B3562C" w:rsidRPr="00580BD2">
        <w:rPr>
          <w:rFonts w:cstheme="majorHAnsi"/>
          <w:sz w:val="24"/>
          <w:szCs w:val="24"/>
          <w:vertAlign w:val="superscript"/>
        </w:rPr>
        <w:t>nd</w:t>
      </w:r>
      <w:r w:rsidR="00B3562C" w:rsidRPr="00580BD2">
        <w:rPr>
          <w:rFonts w:cstheme="majorHAnsi"/>
          <w:sz w:val="24"/>
          <w:szCs w:val="24"/>
        </w:rPr>
        <w:t xml:space="preserve"> highest rate in West </w:t>
      </w:r>
      <w:r w:rsidR="00F62D77">
        <w:rPr>
          <w:rFonts w:cstheme="majorHAnsi"/>
          <w:sz w:val="24"/>
          <w:szCs w:val="24"/>
        </w:rPr>
        <w:t>M</w:t>
      </w:r>
      <w:r w:rsidR="00B3562C" w:rsidRPr="00580BD2">
        <w:rPr>
          <w:rFonts w:cstheme="majorHAnsi"/>
          <w:sz w:val="24"/>
          <w:szCs w:val="24"/>
        </w:rPr>
        <w:t>idlands</w:t>
      </w:r>
      <w:r w:rsidR="00F62D77">
        <w:rPr>
          <w:rFonts w:cstheme="majorHAnsi"/>
          <w:sz w:val="24"/>
          <w:szCs w:val="24"/>
        </w:rPr>
        <w:t>, after</w:t>
      </w:r>
      <w:r w:rsidR="00B3562C" w:rsidRPr="00580BD2">
        <w:rPr>
          <w:rFonts w:cstheme="majorHAnsi"/>
          <w:sz w:val="24"/>
          <w:szCs w:val="24"/>
        </w:rPr>
        <w:t xml:space="preserve"> Birmingham (5</w:t>
      </w:r>
      <w:r>
        <w:rPr>
          <w:rFonts w:cstheme="majorHAnsi"/>
          <w:sz w:val="24"/>
          <w:szCs w:val="24"/>
        </w:rPr>
        <w:t>2</w:t>
      </w:r>
      <w:r w:rsidR="00B3562C" w:rsidRPr="00580BD2">
        <w:rPr>
          <w:rFonts w:cstheme="majorHAnsi"/>
          <w:sz w:val="24"/>
          <w:szCs w:val="24"/>
        </w:rPr>
        <w:t>.4%)</w:t>
      </w:r>
    </w:p>
    <w:p w14:paraId="5FC04CA3" w14:textId="043EA8B6" w:rsidR="00B3562C" w:rsidRPr="004A272B" w:rsidRDefault="00B3562C" w:rsidP="00650377">
      <w:pPr>
        <w:pStyle w:val="ListParagraph"/>
        <w:numPr>
          <w:ilvl w:val="0"/>
          <w:numId w:val="4"/>
        </w:numPr>
        <w:rPr>
          <w:rFonts w:cstheme="majorHAnsi"/>
          <w:b/>
          <w:sz w:val="24"/>
          <w:szCs w:val="24"/>
          <w:u w:val="single"/>
        </w:rPr>
      </w:pPr>
      <w:r w:rsidRPr="004A272B">
        <w:rPr>
          <w:rFonts w:cstheme="majorHAnsi"/>
          <w:color w:val="333333"/>
          <w:sz w:val="24"/>
          <w:szCs w:val="24"/>
          <w:shd w:val="clear" w:color="auto" w:fill="FFFFFF"/>
        </w:rPr>
        <w:t xml:space="preserve">The Infant Feeding Survey 2010 found that mothers from all minority ethnic groups were more likely to breastfeed compared </w:t>
      </w:r>
      <w:r w:rsidR="006A38BB" w:rsidRPr="004A272B">
        <w:rPr>
          <w:rFonts w:cstheme="majorHAnsi"/>
          <w:color w:val="333333"/>
          <w:sz w:val="24"/>
          <w:szCs w:val="24"/>
          <w:shd w:val="clear" w:color="auto" w:fill="FFFFFF"/>
        </w:rPr>
        <w:t>to</w:t>
      </w:r>
      <w:r w:rsidRPr="004A272B">
        <w:rPr>
          <w:rFonts w:cstheme="majorHAnsi"/>
          <w:color w:val="333333"/>
          <w:sz w:val="24"/>
          <w:szCs w:val="24"/>
          <w:shd w:val="clear" w:color="auto" w:fill="FFFFFF"/>
        </w:rPr>
        <w:t xml:space="preserve"> White mothers. </w:t>
      </w:r>
    </w:p>
    <w:p w14:paraId="72DAF680" w14:textId="5258AA94" w:rsidR="004A272B" w:rsidRDefault="004A272B" w:rsidP="004A272B">
      <w:pPr>
        <w:pStyle w:val="ListParagraph"/>
        <w:rPr>
          <w:rFonts w:cstheme="majorHAnsi"/>
          <w:b/>
          <w:sz w:val="24"/>
          <w:szCs w:val="24"/>
          <w:u w:val="single"/>
        </w:rPr>
      </w:pPr>
    </w:p>
    <w:p w14:paraId="0568FF89" w14:textId="77777777" w:rsidR="00D13C30" w:rsidRDefault="00D13C30" w:rsidP="00D13C30">
      <w:pPr>
        <w:pStyle w:val="BodyText"/>
        <w:spacing w:before="201" w:line="276" w:lineRule="auto"/>
        <w:ind w:right="-228"/>
        <w:jc w:val="both"/>
        <w:rPr>
          <w:rStyle w:val="Heading2Char"/>
          <w:rFonts w:asciiTheme="minorHAnsi" w:hAnsiTheme="minorHAnsi" w:cstheme="minorHAnsi"/>
        </w:rPr>
      </w:pPr>
      <w:bookmarkStart w:id="3" w:name="_Toc31182232"/>
      <w:r w:rsidRPr="004F4C66">
        <w:rPr>
          <w:rStyle w:val="Heading2Char"/>
          <w:rFonts w:asciiTheme="minorHAnsi" w:hAnsiTheme="minorHAnsi" w:cstheme="minorHAnsi"/>
        </w:rPr>
        <w:t>Perinatal Mental Health</w:t>
      </w:r>
      <w:bookmarkEnd w:id="3"/>
    </w:p>
    <w:p w14:paraId="2003AE95" w14:textId="281FCC7D" w:rsidR="00D13C30" w:rsidRPr="00D13C30" w:rsidRDefault="00D13C30" w:rsidP="006F33F4">
      <w:pPr>
        <w:pStyle w:val="BodyText"/>
        <w:spacing w:before="120" w:after="120" w:line="276" w:lineRule="auto"/>
        <w:ind w:right="-227"/>
        <w:rPr>
          <w:rFonts w:asciiTheme="minorHAnsi" w:hAnsiTheme="minorHAnsi" w:cstheme="minorHAnsi"/>
        </w:rPr>
      </w:pPr>
      <w:r w:rsidRPr="00D13C30">
        <w:rPr>
          <w:rFonts w:asciiTheme="minorHAnsi" w:hAnsiTheme="minorHAnsi" w:cstheme="minorHAnsi"/>
          <w:bCs/>
        </w:rPr>
        <w:t>The mental health of children and young people in England, 2017 survey</w:t>
      </w:r>
      <w:r w:rsidRPr="00D13C30">
        <w:rPr>
          <w:rFonts w:asciiTheme="minorHAnsi" w:hAnsiTheme="minorHAnsi" w:cstheme="minorHAnsi"/>
        </w:rPr>
        <w:t>, identified that children of parents who had poor mental health were three and a half times more likely to be identified with a mental disorder than children whose parents showed little to no evidence of a mental disorder.</w:t>
      </w:r>
    </w:p>
    <w:p w14:paraId="484D4D7D" w14:textId="255FBC4F" w:rsidR="00D13C30" w:rsidRPr="00D13C30" w:rsidRDefault="00D13C30" w:rsidP="006F33F4">
      <w:pPr>
        <w:pStyle w:val="BodyText"/>
        <w:spacing w:before="120" w:after="120" w:line="276" w:lineRule="auto"/>
        <w:ind w:right="-227"/>
        <w:rPr>
          <w:rFonts w:asciiTheme="minorHAnsi" w:hAnsiTheme="minorHAnsi" w:cstheme="minorHAnsi"/>
        </w:rPr>
      </w:pPr>
      <w:r w:rsidRPr="00D13C30">
        <w:rPr>
          <w:rFonts w:asciiTheme="minorHAnsi" w:hAnsiTheme="minorHAnsi" w:cstheme="minorHAnsi"/>
        </w:rPr>
        <w:t>Research has shown that 3.9</w:t>
      </w:r>
      <w:r>
        <w:rPr>
          <w:rFonts w:asciiTheme="minorHAnsi" w:hAnsiTheme="minorHAnsi" w:cstheme="minorHAnsi"/>
        </w:rPr>
        <w:t>%</w:t>
      </w:r>
      <w:r w:rsidRPr="00D13C30">
        <w:rPr>
          <w:rFonts w:asciiTheme="minorHAnsi" w:hAnsiTheme="minorHAnsi" w:cstheme="minorHAnsi"/>
        </w:rPr>
        <w:t xml:space="preserve"> of new or expectant mothers in 2017 were in contact with secondary mental health services, with young mothers (particularly those aged 16 or under) most likely to be in contact with these services (NHS Digital, 2018)</w:t>
      </w:r>
      <w:r w:rsidR="006F33F4">
        <w:rPr>
          <w:rFonts w:asciiTheme="minorHAnsi" w:hAnsiTheme="minorHAnsi" w:cstheme="minorHAnsi"/>
        </w:rPr>
        <w:t>.</w:t>
      </w:r>
    </w:p>
    <w:p w14:paraId="70EA0B64" w14:textId="3D351D1B" w:rsidR="00D13C30" w:rsidRPr="00D13C30" w:rsidRDefault="00D13C30" w:rsidP="006F33F4">
      <w:pPr>
        <w:rPr>
          <w:rFonts w:cstheme="minorHAnsi"/>
          <w:sz w:val="24"/>
          <w:szCs w:val="24"/>
        </w:rPr>
      </w:pPr>
      <w:r w:rsidRPr="00D13C30">
        <w:rPr>
          <w:rFonts w:cstheme="minorHAnsi"/>
          <w:sz w:val="24"/>
          <w:szCs w:val="24"/>
        </w:rPr>
        <w:t xml:space="preserve">Public Health England </w:t>
      </w:r>
      <w:r w:rsidR="00661010">
        <w:rPr>
          <w:rFonts w:cstheme="minorHAnsi"/>
          <w:sz w:val="24"/>
          <w:szCs w:val="24"/>
        </w:rPr>
        <w:t xml:space="preserve">(PHE) </w:t>
      </w:r>
      <w:r w:rsidRPr="00D13C30">
        <w:rPr>
          <w:rFonts w:cstheme="minorHAnsi"/>
          <w:sz w:val="24"/>
          <w:szCs w:val="24"/>
        </w:rPr>
        <w:t xml:space="preserve">produce estimated numbers of women that might be expected to have certain mental health problems in pregnancy.  These estimates are produced by applying national estimates for these conditions, to local delivery figures for Sandwell.  </w:t>
      </w:r>
      <w:r w:rsidR="00661010">
        <w:rPr>
          <w:rFonts w:cstheme="minorHAnsi"/>
          <w:sz w:val="24"/>
          <w:szCs w:val="24"/>
        </w:rPr>
        <w:t>PHE</w:t>
      </w:r>
      <w:r w:rsidRPr="00D13C30">
        <w:rPr>
          <w:rFonts w:cstheme="minorHAnsi"/>
          <w:sz w:val="24"/>
          <w:szCs w:val="24"/>
        </w:rPr>
        <w:t xml:space="preserve"> recognise that there are concerns about the quality of this data, but they do provide an indication of prevalence for these conditions within the borough.  Mild-moderate depressive illness and anxiety, and adjustment disorders and distress indicators are presented as a range of figures, with upper and lower estimates.  These have been calculated by applying the national estimate ranges to local delivery numbers.  These estimates are presented in </w:t>
      </w:r>
      <w:r>
        <w:rPr>
          <w:rFonts w:cstheme="minorHAnsi"/>
          <w:sz w:val="24"/>
          <w:szCs w:val="24"/>
        </w:rPr>
        <w:t>T</w:t>
      </w:r>
      <w:r w:rsidRPr="00D13C30">
        <w:rPr>
          <w:rFonts w:cstheme="minorHAnsi"/>
          <w:sz w:val="24"/>
          <w:szCs w:val="24"/>
        </w:rPr>
        <w:t>able 1.</w:t>
      </w:r>
      <w:r>
        <w:rPr>
          <w:rFonts w:cstheme="minorHAnsi"/>
          <w:sz w:val="24"/>
          <w:szCs w:val="24"/>
        </w:rPr>
        <w:t>3</w:t>
      </w:r>
      <w:r w:rsidRPr="00D13C30">
        <w:rPr>
          <w:rFonts w:cstheme="minorHAnsi"/>
          <w:sz w:val="24"/>
          <w:szCs w:val="24"/>
        </w:rPr>
        <w:t xml:space="preserve"> below.</w:t>
      </w:r>
    </w:p>
    <w:p w14:paraId="5DC3F29D" w14:textId="4D479D57" w:rsidR="00D13C30" w:rsidRPr="00D13C30" w:rsidRDefault="00D13C30" w:rsidP="00D13C30">
      <w:pPr>
        <w:rPr>
          <w:rFonts w:cstheme="minorHAnsi"/>
        </w:rPr>
      </w:pPr>
    </w:p>
    <w:p w14:paraId="413F5178" w14:textId="3313663A" w:rsidR="00D13C30" w:rsidRPr="00D13C30" w:rsidRDefault="00D13C30" w:rsidP="00D13C30">
      <w:pPr>
        <w:pStyle w:val="Default"/>
        <w:rPr>
          <w:rFonts w:asciiTheme="minorHAnsi" w:hAnsiTheme="minorHAnsi" w:cstheme="minorHAnsi"/>
          <w:b/>
        </w:rPr>
      </w:pPr>
      <w:r w:rsidRPr="00AB6D81">
        <w:rPr>
          <w:rFonts w:asciiTheme="majorHAnsi" w:hAnsiTheme="majorHAnsi" w:cstheme="majorHAnsi"/>
          <w:noProof/>
        </w:rPr>
        <w:drawing>
          <wp:anchor distT="0" distB="0" distL="114300" distR="114300" simplePos="0" relativeHeight="251658246" behindDoc="1" locked="0" layoutInCell="1" allowOverlap="1" wp14:anchorId="17866271" wp14:editId="5DA8DAAA">
            <wp:simplePos x="0" y="0"/>
            <wp:positionH relativeFrom="column">
              <wp:posOffset>-586105</wp:posOffset>
            </wp:positionH>
            <wp:positionV relativeFrom="paragraph">
              <wp:posOffset>280035</wp:posOffset>
            </wp:positionV>
            <wp:extent cx="7016262" cy="3160851"/>
            <wp:effectExtent l="0" t="0" r="0" b="1905"/>
            <wp:wrapTight wrapText="bothSides">
              <wp:wrapPolygon edited="0">
                <wp:start x="0" y="0"/>
                <wp:lineTo x="0" y="21483"/>
                <wp:lineTo x="21524" y="21483"/>
                <wp:lineTo x="21524" y="0"/>
                <wp:lineTo x="0" y="0"/>
              </wp:wrapPolygon>
            </wp:wrapTight>
            <wp:docPr id="31" name="Picture 31" descr="cid:image001.png@01D585B8.CA9ED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85B8.CA9ED06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7016262" cy="3160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30">
        <w:rPr>
          <w:rFonts w:asciiTheme="minorHAnsi" w:hAnsiTheme="minorHAnsi" w:cstheme="minorHAnsi"/>
          <w:b/>
        </w:rPr>
        <w:t>Table 1.</w:t>
      </w:r>
      <w:r>
        <w:rPr>
          <w:rFonts w:asciiTheme="minorHAnsi" w:hAnsiTheme="minorHAnsi" w:cstheme="minorHAnsi"/>
          <w:b/>
        </w:rPr>
        <w:t>3</w:t>
      </w:r>
      <w:r w:rsidRPr="00D13C30">
        <w:rPr>
          <w:rFonts w:asciiTheme="minorHAnsi" w:hAnsiTheme="minorHAnsi" w:cstheme="minorHAnsi"/>
          <w:b/>
        </w:rPr>
        <w:t xml:space="preserve"> Estimated number of women affected by perinatal mental illnesses (2017/18) </w:t>
      </w:r>
    </w:p>
    <w:p w14:paraId="352539AB" w14:textId="78E2E260" w:rsidR="00D13C30" w:rsidRPr="00AB6D81" w:rsidRDefault="00D13C30" w:rsidP="00D13C30">
      <w:pPr>
        <w:pStyle w:val="Default"/>
        <w:rPr>
          <w:rFonts w:asciiTheme="majorHAnsi" w:hAnsiTheme="majorHAnsi" w:cstheme="majorHAnsi"/>
        </w:rPr>
      </w:pPr>
    </w:p>
    <w:p w14:paraId="6757C625" w14:textId="72D3A5AF" w:rsidR="00D13C30" w:rsidRPr="00661010" w:rsidRDefault="00D13C30" w:rsidP="00D13C30">
      <w:pPr>
        <w:pStyle w:val="ListParagraph"/>
        <w:widowControl w:val="0"/>
        <w:numPr>
          <w:ilvl w:val="0"/>
          <w:numId w:val="40"/>
        </w:numPr>
        <w:autoSpaceDE w:val="0"/>
        <w:autoSpaceDN w:val="0"/>
        <w:spacing w:line="276" w:lineRule="auto"/>
        <w:ind w:left="357" w:hanging="357"/>
        <w:contextualSpacing w:val="0"/>
        <w:rPr>
          <w:rFonts w:cstheme="minorHAnsi"/>
          <w:spacing w:val="-2"/>
          <w:sz w:val="24"/>
          <w:szCs w:val="24"/>
        </w:rPr>
      </w:pPr>
      <w:r w:rsidRPr="00661010">
        <w:rPr>
          <w:rFonts w:cstheme="minorHAnsi"/>
          <w:spacing w:val="-2"/>
          <w:sz w:val="24"/>
          <w:szCs w:val="24"/>
        </w:rPr>
        <w:t>Women experiencing postpartum psychosis and chronic serious mental illness (SMI) are rare occurrences during or after childbirth, with only an estimated 7 women experiencing each of these conditions, 0.2% of the 4,597 deliveries in Sandwell in 2017/18.</w:t>
      </w:r>
    </w:p>
    <w:p w14:paraId="59A5A2C1" w14:textId="77777777" w:rsidR="00D13C30" w:rsidRPr="00D13C30" w:rsidRDefault="00D13C30" w:rsidP="00D13C30">
      <w:pPr>
        <w:pStyle w:val="ListParagraph"/>
        <w:widowControl w:val="0"/>
        <w:numPr>
          <w:ilvl w:val="0"/>
          <w:numId w:val="40"/>
        </w:numPr>
        <w:autoSpaceDE w:val="0"/>
        <w:autoSpaceDN w:val="0"/>
        <w:spacing w:line="276" w:lineRule="auto"/>
        <w:ind w:left="357" w:hanging="357"/>
        <w:contextualSpacing w:val="0"/>
        <w:rPr>
          <w:rFonts w:cstheme="minorHAnsi"/>
          <w:sz w:val="24"/>
          <w:szCs w:val="24"/>
        </w:rPr>
      </w:pPr>
      <w:r w:rsidRPr="00D13C30">
        <w:rPr>
          <w:rFonts w:cstheme="minorHAnsi"/>
          <w:sz w:val="24"/>
          <w:szCs w:val="24"/>
        </w:rPr>
        <w:t>It is calculated that an estimated 107 mothers experienced post-traumatic stress disorder (PTSD) and that the same number may have experienced severe depressive illness in Sandwell, in 2017/18.</w:t>
      </w:r>
    </w:p>
    <w:p w14:paraId="3841CE4B" w14:textId="6603D7C0" w:rsidR="00D13C30" w:rsidRPr="00D13C30" w:rsidRDefault="00D13C30" w:rsidP="00D13C30">
      <w:pPr>
        <w:pStyle w:val="ListParagraph"/>
        <w:widowControl w:val="0"/>
        <w:numPr>
          <w:ilvl w:val="0"/>
          <w:numId w:val="40"/>
        </w:numPr>
        <w:autoSpaceDE w:val="0"/>
        <w:autoSpaceDN w:val="0"/>
        <w:spacing w:line="276" w:lineRule="auto"/>
        <w:ind w:left="357" w:hanging="357"/>
        <w:contextualSpacing w:val="0"/>
        <w:rPr>
          <w:rFonts w:cstheme="minorHAnsi"/>
          <w:sz w:val="24"/>
          <w:szCs w:val="24"/>
        </w:rPr>
      </w:pPr>
      <w:r w:rsidRPr="00D13C30">
        <w:rPr>
          <w:rFonts w:cstheme="minorHAnsi"/>
          <w:sz w:val="24"/>
          <w:szCs w:val="24"/>
        </w:rPr>
        <w:t>It is estimated that between 355 and 533 women experienced mild to moderate depression and anxiety in Sandwell, 7.7% to 11.6% of the 4,597 childbirth deliveries in Sandwell, in 2017/18.</w:t>
      </w:r>
    </w:p>
    <w:p w14:paraId="7837BF75" w14:textId="3C78BEA3" w:rsidR="00D13C30" w:rsidRPr="00D13C30" w:rsidRDefault="00D13C30" w:rsidP="00D13C30">
      <w:pPr>
        <w:pStyle w:val="ListParagraph"/>
        <w:widowControl w:val="0"/>
        <w:numPr>
          <w:ilvl w:val="0"/>
          <w:numId w:val="40"/>
        </w:numPr>
        <w:autoSpaceDE w:val="0"/>
        <w:autoSpaceDN w:val="0"/>
        <w:spacing w:line="276" w:lineRule="auto"/>
        <w:ind w:left="357" w:hanging="357"/>
        <w:contextualSpacing w:val="0"/>
        <w:rPr>
          <w:rFonts w:cstheme="minorHAnsi"/>
          <w:sz w:val="24"/>
          <w:szCs w:val="24"/>
        </w:rPr>
      </w:pPr>
      <w:r w:rsidRPr="00D13C30">
        <w:rPr>
          <w:rFonts w:cstheme="minorHAnsi"/>
          <w:sz w:val="24"/>
          <w:szCs w:val="24"/>
        </w:rPr>
        <w:t>It was estimated that between 553 and 1,066 women may have experienced this type of mental illness during or after childbirth in Sandwell.  This is between 11.6% and 23.2% of the women who have given birth in 2017/18.</w:t>
      </w:r>
    </w:p>
    <w:p w14:paraId="2E94DD89" w14:textId="0BA46F60" w:rsidR="00D13C30" w:rsidRPr="004A272B" w:rsidRDefault="00D13C30" w:rsidP="00661010">
      <w:pPr>
        <w:pStyle w:val="ListParagraph"/>
        <w:ind w:left="0"/>
        <w:rPr>
          <w:rFonts w:cstheme="majorHAnsi"/>
          <w:b/>
          <w:sz w:val="24"/>
          <w:szCs w:val="24"/>
          <w:u w:val="single"/>
        </w:rPr>
      </w:pPr>
      <w:r w:rsidRPr="00D13C30">
        <w:rPr>
          <w:rFonts w:cstheme="minorHAnsi"/>
          <w:sz w:val="24"/>
          <w:szCs w:val="24"/>
        </w:rPr>
        <w:t xml:space="preserve">It is possible that some women may experience more than one of these perinatal mental health conditions.  </w:t>
      </w:r>
      <w:r w:rsidR="00661010">
        <w:rPr>
          <w:rFonts w:cstheme="minorHAnsi"/>
          <w:sz w:val="24"/>
          <w:szCs w:val="24"/>
        </w:rPr>
        <w:t>PHE</w:t>
      </w:r>
      <w:r w:rsidRPr="00D13C30">
        <w:rPr>
          <w:rFonts w:cstheme="minorHAnsi"/>
          <w:sz w:val="24"/>
          <w:szCs w:val="24"/>
        </w:rPr>
        <w:t xml:space="preserve"> comment that between 10% and 20% of women are affected by mental health issues at some point during pregnancy or in the first year after childbirth</w:t>
      </w:r>
      <w:r w:rsidR="00661010">
        <w:rPr>
          <w:rFonts w:cstheme="minorHAnsi"/>
          <w:sz w:val="24"/>
          <w:szCs w:val="24"/>
        </w:rPr>
        <w:t>.</w:t>
      </w:r>
    </w:p>
    <w:p w14:paraId="7E409724" w14:textId="2CD01761" w:rsidR="00A242F4" w:rsidRDefault="00A242F4" w:rsidP="005B1F6D">
      <w:pPr>
        <w:pStyle w:val="Heading2"/>
        <w:rPr>
          <w:rStyle w:val="SubtleEmphasis"/>
          <w:i w:val="0"/>
          <w:iCs w:val="0"/>
          <w:color w:val="2F5496" w:themeColor="accent1" w:themeShade="BF"/>
        </w:rPr>
      </w:pPr>
      <w:r w:rsidRPr="00A242F4">
        <w:rPr>
          <w:rStyle w:val="SubtleEmphasis"/>
          <w:i w:val="0"/>
          <w:iCs w:val="0"/>
          <w:color w:val="2F5496" w:themeColor="accent1" w:themeShade="BF"/>
        </w:rPr>
        <w:t>Birthweight</w:t>
      </w:r>
    </w:p>
    <w:p w14:paraId="0643E17B" w14:textId="77777777" w:rsidR="00582427" w:rsidRPr="00582427" w:rsidRDefault="00582427" w:rsidP="00582427">
      <w:pPr>
        <w:pStyle w:val="NormalWeb"/>
        <w:rPr>
          <w:rFonts w:asciiTheme="minorHAnsi" w:hAnsiTheme="minorHAnsi" w:cstheme="minorHAnsi"/>
          <w:color w:val="0E1B26"/>
        </w:rPr>
      </w:pPr>
      <w:r w:rsidRPr="00582427">
        <w:rPr>
          <w:rFonts w:asciiTheme="minorHAnsi" w:hAnsiTheme="minorHAnsi" w:cstheme="minorHAnsi"/>
          <w:color w:val="0E1B26"/>
        </w:rPr>
        <w:t>Low birth weight (under 2,500 grams) is associated with an increased risk of infant mortality, developmental problems in childhood and poorer health in later life. A large proportion of babies will be born under 2,500 grams because they are preterm births (born before 37 weeks of pregnancy). Whether they are born prematurely or at full term, the risk of low birth weight is related to:</w:t>
      </w:r>
    </w:p>
    <w:p w14:paraId="752DD890" w14:textId="4537CD38" w:rsidR="00582427" w:rsidRPr="00582427" w:rsidRDefault="00582427" w:rsidP="00B13D4A">
      <w:pPr>
        <w:numPr>
          <w:ilvl w:val="0"/>
          <w:numId w:val="17"/>
        </w:numPr>
        <w:spacing w:before="100" w:beforeAutospacing="1" w:after="100" w:afterAutospacing="1" w:line="240" w:lineRule="auto"/>
        <w:rPr>
          <w:rFonts w:cstheme="minorHAnsi"/>
          <w:color w:val="0E1B26"/>
          <w:sz w:val="24"/>
          <w:szCs w:val="24"/>
        </w:rPr>
      </w:pPr>
      <w:r w:rsidRPr="00582427">
        <w:rPr>
          <w:rFonts w:cstheme="minorHAnsi"/>
          <w:color w:val="0E1B26"/>
          <w:sz w:val="24"/>
          <w:szCs w:val="24"/>
        </w:rPr>
        <w:t>smoking while pregnant</w:t>
      </w:r>
    </w:p>
    <w:p w14:paraId="7ADA04F2" w14:textId="685AD5ED" w:rsidR="00582427" w:rsidRPr="00582427" w:rsidRDefault="00582427" w:rsidP="00B13D4A">
      <w:pPr>
        <w:numPr>
          <w:ilvl w:val="0"/>
          <w:numId w:val="17"/>
        </w:numPr>
        <w:spacing w:before="100" w:beforeAutospacing="1" w:after="100" w:afterAutospacing="1" w:line="240" w:lineRule="auto"/>
        <w:rPr>
          <w:rFonts w:cstheme="minorHAnsi"/>
          <w:color w:val="0E1B26"/>
          <w:sz w:val="24"/>
          <w:szCs w:val="24"/>
        </w:rPr>
      </w:pPr>
      <w:r w:rsidRPr="00582427">
        <w:rPr>
          <w:rFonts w:cstheme="minorHAnsi"/>
          <w:color w:val="0E1B26"/>
          <w:sz w:val="24"/>
          <w:szCs w:val="24"/>
        </w:rPr>
        <w:t>substance and alcohol misuse</w:t>
      </w:r>
    </w:p>
    <w:p w14:paraId="18FCA2D7" w14:textId="77777777" w:rsidR="00582427" w:rsidRPr="00582427" w:rsidRDefault="00582427" w:rsidP="00B13D4A">
      <w:pPr>
        <w:numPr>
          <w:ilvl w:val="0"/>
          <w:numId w:val="17"/>
        </w:numPr>
        <w:spacing w:before="100" w:beforeAutospacing="1" w:after="100" w:afterAutospacing="1" w:line="240" w:lineRule="auto"/>
        <w:rPr>
          <w:rFonts w:cstheme="minorHAnsi"/>
          <w:color w:val="0E1B26"/>
          <w:sz w:val="24"/>
          <w:szCs w:val="24"/>
        </w:rPr>
      </w:pPr>
      <w:r w:rsidRPr="00582427">
        <w:rPr>
          <w:rFonts w:cstheme="minorHAnsi"/>
          <w:color w:val="0E1B26"/>
          <w:sz w:val="24"/>
          <w:szCs w:val="24"/>
        </w:rPr>
        <w:t>pregnancy health and nutrition</w:t>
      </w:r>
    </w:p>
    <w:p w14:paraId="2EFFCD60" w14:textId="77777777" w:rsidR="00582427" w:rsidRPr="00582427" w:rsidRDefault="00582427" w:rsidP="00B13D4A">
      <w:pPr>
        <w:numPr>
          <w:ilvl w:val="0"/>
          <w:numId w:val="17"/>
        </w:numPr>
        <w:spacing w:before="100" w:beforeAutospacing="1" w:after="100" w:afterAutospacing="1" w:line="240" w:lineRule="auto"/>
        <w:rPr>
          <w:rFonts w:cstheme="minorHAnsi"/>
          <w:color w:val="0E1B26"/>
          <w:sz w:val="24"/>
          <w:szCs w:val="24"/>
        </w:rPr>
      </w:pPr>
      <w:r w:rsidRPr="00582427">
        <w:rPr>
          <w:rFonts w:cstheme="minorHAnsi"/>
          <w:color w:val="0E1B26"/>
          <w:sz w:val="24"/>
          <w:szCs w:val="24"/>
        </w:rPr>
        <w:t>pregnancy-related complications</w:t>
      </w:r>
    </w:p>
    <w:p w14:paraId="2676A95A" w14:textId="77777777" w:rsidR="00582427" w:rsidRPr="00582427" w:rsidRDefault="00582427" w:rsidP="00B13D4A">
      <w:pPr>
        <w:numPr>
          <w:ilvl w:val="0"/>
          <w:numId w:val="17"/>
        </w:numPr>
        <w:spacing w:before="100" w:beforeAutospacing="1" w:after="100" w:afterAutospacing="1" w:line="240" w:lineRule="auto"/>
        <w:rPr>
          <w:rFonts w:cstheme="minorHAnsi"/>
          <w:color w:val="0E1B26"/>
          <w:sz w:val="24"/>
          <w:szCs w:val="24"/>
        </w:rPr>
      </w:pPr>
      <w:r w:rsidRPr="00582427">
        <w:rPr>
          <w:rFonts w:cstheme="minorHAnsi"/>
          <w:color w:val="0E1B26"/>
          <w:sz w:val="24"/>
          <w:szCs w:val="24"/>
        </w:rPr>
        <w:t>a mother's young age</w:t>
      </w:r>
    </w:p>
    <w:p w14:paraId="314BB47E" w14:textId="6012EB28" w:rsidR="00582427" w:rsidRPr="00582427" w:rsidRDefault="00582427" w:rsidP="00582427">
      <w:pPr>
        <w:pStyle w:val="NormalWeb"/>
        <w:rPr>
          <w:rFonts w:asciiTheme="minorHAnsi" w:hAnsiTheme="minorHAnsi" w:cstheme="minorHAnsi"/>
          <w:color w:val="0E1B26"/>
        </w:rPr>
      </w:pPr>
      <w:r w:rsidRPr="00582427">
        <w:rPr>
          <w:rFonts w:asciiTheme="minorHAnsi" w:hAnsiTheme="minorHAnsi" w:cstheme="minorHAnsi"/>
          <w:color w:val="0E1B26"/>
        </w:rPr>
        <w:t xml:space="preserve">At a population level, a high proportion of low birth weight babies is primarily related to poorer antenatal maternal health. </w:t>
      </w:r>
    </w:p>
    <w:p w14:paraId="461DADBE" w14:textId="77777777" w:rsidR="00582427" w:rsidRPr="00582427" w:rsidRDefault="00582427" w:rsidP="00582427"/>
    <w:p w14:paraId="6F48E72C" w14:textId="443F6A1F" w:rsidR="00B3562C" w:rsidRPr="001E11C4" w:rsidRDefault="00B3562C" w:rsidP="001E11C4">
      <w:pPr>
        <w:pStyle w:val="Heading3"/>
        <w:rPr>
          <w:rStyle w:val="SubtleEmphasis"/>
          <w:i w:val="0"/>
          <w:iCs w:val="0"/>
          <w:color w:val="44546A" w:themeColor="text2"/>
        </w:rPr>
      </w:pPr>
      <w:r w:rsidRPr="001E11C4">
        <w:rPr>
          <w:rStyle w:val="SubtleEmphasis"/>
          <w:i w:val="0"/>
          <w:iCs w:val="0"/>
          <w:color w:val="44546A" w:themeColor="text2"/>
        </w:rPr>
        <w:t>Low Birth Weight – full term</w:t>
      </w:r>
    </w:p>
    <w:p w14:paraId="6442E8ED" w14:textId="77777777" w:rsidR="00B3562C" w:rsidRPr="00580BD2" w:rsidRDefault="00B3562C" w:rsidP="00B3562C">
      <w:pPr>
        <w:rPr>
          <w:rFonts w:cstheme="majorHAnsi"/>
          <w:sz w:val="24"/>
          <w:szCs w:val="24"/>
          <w:u w:val="single"/>
        </w:rPr>
      </w:pPr>
      <w:r w:rsidRPr="00580BD2">
        <w:rPr>
          <w:rFonts w:cstheme="majorHAnsi"/>
          <w:color w:val="333333"/>
          <w:sz w:val="24"/>
          <w:szCs w:val="24"/>
          <w:shd w:val="clear" w:color="auto" w:fill="FFFFFF"/>
        </w:rPr>
        <w:t>Live births with a recorded birth weight under 2500g and a gestational age of at least 37 complete weeks as a percentage of all live births with recorded birth weight and a gestational age of at least 37 complete weeks.</w:t>
      </w:r>
    </w:p>
    <w:p w14:paraId="75EEB5E5" w14:textId="77777777" w:rsidR="00B3562C" w:rsidRPr="00580BD2" w:rsidRDefault="00B3562C" w:rsidP="00B3562C">
      <w:pPr>
        <w:pStyle w:val="ListParagraph"/>
        <w:numPr>
          <w:ilvl w:val="0"/>
          <w:numId w:val="5"/>
        </w:numPr>
        <w:rPr>
          <w:rFonts w:cstheme="majorHAnsi"/>
          <w:sz w:val="24"/>
          <w:szCs w:val="24"/>
          <w:u w:val="single"/>
        </w:rPr>
      </w:pPr>
      <w:r w:rsidRPr="00580BD2">
        <w:rPr>
          <w:rFonts w:cstheme="majorHAnsi"/>
          <w:sz w:val="24"/>
          <w:szCs w:val="24"/>
        </w:rPr>
        <w:t>No significant change in the trend for the past 5 years</w:t>
      </w:r>
    </w:p>
    <w:p w14:paraId="5D5D2119" w14:textId="2D2C9A54" w:rsidR="00B3562C" w:rsidRPr="006F33F4" w:rsidRDefault="00B3562C" w:rsidP="008F2363">
      <w:pPr>
        <w:pStyle w:val="ListParagraph"/>
        <w:numPr>
          <w:ilvl w:val="0"/>
          <w:numId w:val="5"/>
        </w:numPr>
        <w:rPr>
          <w:rFonts w:cstheme="majorHAnsi"/>
          <w:sz w:val="24"/>
          <w:szCs w:val="24"/>
          <w:u w:val="single"/>
        </w:rPr>
      </w:pPr>
      <w:r w:rsidRPr="006F33F4">
        <w:rPr>
          <w:rFonts w:cstheme="majorHAnsi"/>
          <w:sz w:val="24"/>
          <w:szCs w:val="24"/>
        </w:rPr>
        <w:t>Still significantly higher than England</w:t>
      </w:r>
      <w:r w:rsidR="006F33F4" w:rsidRPr="006F33F4">
        <w:rPr>
          <w:rFonts w:cstheme="majorHAnsi"/>
          <w:sz w:val="24"/>
          <w:szCs w:val="24"/>
        </w:rPr>
        <w:t xml:space="preserve">, but </w:t>
      </w:r>
      <w:r w:rsidR="006F33F4">
        <w:rPr>
          <w:rFonts w:cstheme="majorHAnsi"/>
          <w:sz w:val="24"/>
          <w:szCs w:val="24"/>
        </w:rPr>
        <w:t>s</w:t>
      </w:r>
      <w:r w:rsidRPr="006F33F4">
        <w:rPr>
          <w:rFonts w:cstheme="majorHAnsi"/>
          <w:sz w:val="24"/>
          <w:szCs w:val="24"/>
        </w:rPr>
        <w:t>imilar rates to the West Midlands</w:t>
      </w:r>
    </w:p>
    <w:p w14:paraId="58CB9459" w14:textId="3A1D5501" w:rsidR="00B3562C" w:rsidRPr="0076744B" w:rsidRDefault="00B3562C" w:rsidP="00B3562C">
      <w:pPr>
        <w:pStyle w:val="ListParagraph"/>
        <w:numPr>
          <w:ilvl w:val="0"/>
          <w:numId w:val="5"/>
        </w:numPr>
        <w:rPr>
          <w:rFonts w:cstheme="majorHAnsi"/>
          <w:sz w:val="24"/>
          <w:szCs w:val="24"/>
          <w:u w:val="single"/>
        </w:rPr>
      </w:pPr>
      <w:r w:rsidRPr="00580BD2">
        <w:rPr>
          <w:rFonts w:cstheme="majorHAnsi"/>
          <w:sz w:val="24"/>
          <w:szCs w:val="24"/>
        </w:rPr>
        <w:t>20</w:t>
      </w:r>
      <w:r w:rsidR="003E47B3">
        <w:rPr>
          <w:rFonts w:cstheme="majorHAnsi"/>
          <w:sz w:val="24"/>
          <w:szCs w:val="24"/>
        </w:rPr>
        <w:t>20</w:t>
      </w:r>
      <w:r w:rsidRPr="00580BD2">
        <w:rPr>
          <w:rFonts w:cstheme="majorHAnsi"/>
          <w:sz w:val="24"/>
          <w:szCs w:val="24"/>
        </w:rPr>
        <w:t xml:space="preserve"> Sandwell 3.7%; England 2.8</w:t>
      </w:r>
      <w:r w:rsidR="00163755">
        <w:rPr>
          <w:rFonts w:cstheme="majorHAnsi"/>
          <w:sz w:val="24"/>
          <w:szCs w:val="24"/>
        </w:rPr>
        <w:t>6</w:t>
      </w:r>
      <w:r w:rsidRPr="00580BD2">
        <w:rPr>
          <w:rFonts w:cstheme="majorHAnsi"/>
          <w:sz w:val="24"/>
          <w:szCs w:val="24"/>
        </w:rPr>
        <w:t>%; West Midlands 3.</w:t>
      </w:r>
      <w:r w:rsidR="00163755">
        <w:rPr>
          <w:rFonts w:cstheme="majorHAnsi"/>
          <w:sz w:val="24"/>
          <w:szCs w:val="24"/>
        </w:rPr>
        <w:t>1</w:t>
      </w:r>
      <w:r w:rsidR="00EF3C05">
        <w:rPr>
          <w:rFonts w:cstheme="majorHAnsi"/>
          <w:sz w:val="24"/>
          <w:szCs w:val="24"/>
        </w:rPr>
        <w:t>2</w:t>
      </w:r>
      <w:r w:rsidRPr="00580BD2">
        <w:rPr>
          <w:rFonts w:cstheme="majorHAnsi"/>
          <w:sz w:val="24"/>
          <w:szCs w:val="24"/>
        </w:rPr>
        <w:t>%</w:t>
      </w:r>
    </w:p>
    <w:p w14:paraId="474DFB38" w14:textId="59AB5443" w:rsidR="0076744B" w:rsidRPr="004E1474" w:rsidRDefault="006F33F4" w:rsidP="0076744B">
      <w:pPr>
        <w:rPr>
          <w:rFonts w:cstheme="majorHAnsi"/>
          <w:b/>
          <w:sz w:val="24"/>
          <w:szCs w:val="24"/>
        </w:rPr>
      </w:pPr>
      <w:r>
        <w:rPr>
          <w:rFonts w:cstheme="majorHAnsi"/>
          <w:b/>
          <w:sz w:val="24"/>
          <w:szCs w:val="24"/>
        </w:rPr>
        <w:br/>
      </w:r>
      <w:r w:rsidR="0076744B" w:rsidRPr="004E1474">
        <w:rPr>
          <w:rFonts w:cstheme="majorHAnsi"/>
          <w:b/>
          <w:sz w:val="24"/>
          <w:szCs w:val="24"/>
        </w:rPr>
        <w:t xml:space="preserve">Figure </w:t>
      </w:r>
      <w:r w:rsidR="00DA1C23">
        <w:rPr>
          <w:rFonts w:cstheme="majorHAnsi"/>
          <w:b/>
          <w:sz w:val="24"/>
          <w:szCs w:val="24"/>
        </w:rPr>
        <w:t>1.</w:t>
      </w:r>
      <w:r w:rsidR="0076744B" w:rsidRPr="004E1474">
        <w:rPr>
          <w:rFonts w:cstheme="majorHAnsi"/>
          <w:b/>
          <w:sz w:val="24"/>
          <w:szCs w:val="24"/>
        </w:rPr>
        <w:t>1</w:t>
      </w:r>
      <w:r w:rsidR="007453E5">
        <w:rPr>
          <w:rFonts w:cstheme="majorHAnsi"/>
          <w:b/>
          <w:sz w:val="24"/>
          <w:szCs w:val="24"/>
        </w:rPr>
        <w:t>2</w:t>
      </w:r>
      <w:r w:rsidR="0076744B" w:rsidRPr="004E1474">
        <w:rPr>
          <w:rFonts w:cstheme="majorHAnsi"/>
          <w:b/>
          <w:sz w:val="24"/>
          <w:szCs w:val="24"/>
        </w:rPr>
        <w:t>:</w:t>
      </w:r>
      <w:r w:rsidR="00E11D9A">
        <w:rPr>
          <w:rFonts w:cstheme="majorHAnsi"/>
          <w:b/>
          <w:sz w:val="24"/>
          <w:szCs w:val="24"/>
        </w:rPr>
        <w:t xml:space="preserve"> Low Birth Weight for Term Babies – Sandwell &amp; England</w:t>
      </w:r>
    </w:p>
    <w:p w14:paraId="1506F320" w14:textId="669ECAF7" w:rsidR="00B3562C" w:rsidRPr="00580BD2" w:rsidRDefault="00E11D9A" w:rsidP="00B3562C">
      <w:pPr>
        <w:rPr>
          <w:rFonts w:cstheme="majorHAnsi"/>
          <w:sz w:val="24"/>
          <w:szCs w:val="24"/>
          <w:u w:val="single"/>
        </w:rPr>
      </w:pPr>
      <w:r>
        <w:rPr>
          <w:noProof/>
        </w:rPr>
        <w:drawing>
          <wp:inline distT="0" distB="0" distL="0" distR="0" wp14:anchorId="206E37CA" wp14:editId="3F5F03BE">
            <wp:extent cx="5143500" cy="2857500"/>
            <wp:effectExtent l="0" t="0" r="0" b="0"/>
            <wp:docPr id="209" name="Graph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143500" cy="2857500"/>
                    </a:xfrm>
                    <a:prstGeom prst="rect">
                      <a:avLst/>
                    </a:prstGeom>
                  </pic:spPr>
                </pic:pic>
              </a:graphicData>
            </a:graphic>
          </wp:inline>
        </w:drawing>
      </w:r>
    </w:p>
    <w:p w14:paraId="0008C741" w14:textId="6AA01943" w:rsidR="001E11C4" w:rsidRPr="001E11C4" w:rsidRDefault="001E11C4" w:rsidP="001E11C4">
      <w:pPr>
        <w:rPr>
          <w:sz w:val="24"/>
          <w:szCs w:val="24"/>
        </w:rPr>
      </w:pPr>
      <w:r w:rsidRPr="001E11C4">
        <w:rPr>
          <w:sz w:val="24"/>
          <w:szCs w:val="24"/>
        </w:rPr>
        <w:t>Source: Public Health England Profiles</w:t>
      </w:r>
    </w:p>
    <w:p w14:paraId="46A9CF77" w14:textId="78FE54DE" w:rsidR="00B3562C" w:rsidRPr="00580BD2" w:rsidRDefault="00B3562C" w:rsidP="001E11C4">
      <w:pPr>
        <w:pStyle w:val="Heading3"/>
      </w:pPr>
      <w:r w:rsidRPr="00580BD2">
        <w:t>Low Birth Weight – all babies</w:t>
      </w:r>
    </w:p>
    <w:p w14:paraId="5029FD9F" w14:textId="77777777" w:rsidR="00B3562C" w:rsidRPr="00D524EE" w:rsidRDefault="00B3562C" w:rsidP="00B3562C">
      <w:pPr>
        <w:rPr>
          <w:rFonts w:cstheme="majorHAnsi"/>
          <w:sz w:val="24"/>
          <w:szCs w:val="24"/>
          <w:u w:val="single"/>
        </w:rPr>
      </w:pPr>
      <w:r w:rsidRPr="00D524EE">
        <w:rPr>
          <w:rFonts w:cstheme="majorHAnsi"/>
          <w:sz w:val="24"/>
          <w:szCs w:val="24"/>
          <w:shd w:val="clear" w:color="auto" w:fill="FFFFFF"/>
        </w:rPr>
        <w:t>All births (live and still births) with a recorded birth weight under 2500g as a percentage of all live births with stated birth weight.</w:t>
      </w:r>
    </w:p>
    <w:p w14:paraId="75F3939A" w14:textId="77777777" w:rsidR="00B3562C" w:rsidRPr="00580BD2" w:rsidRDefault="00B3562C" w:rsidP="00B3562C">
      <w:pPr>
        <w:pStyle w:val="ListParagraph"/>
        <w:numPr>
          <w:ilvl w:val="0"/>
          <w:numId w:val="5"/>
        </w:numPr>
        <w:rPr>
          <w:rFonts w:cstheme="majorHAnsi"/>
          <w:sz w:val="24"/>
          <w:szCs w:val="24"/>
          <w:u w:val="single"/>
        </w:rPr>
      </w:pPr>
      <w:r w:rsidRPr="00580BD2">
        <w:rPr>
          <w:rFonts w:cstheme="majorHAnsi"/>
          <w:sz w:val="24"/>
          <w:szCs w:val="24"/>
        </w:rPr>
        <w:t>No significant change in the trend for the past 5 years</w:t>
      </w:r>
    </w:p>
    <w:p w14:paraId="1C7268CB" w14:textId="77777777" w:rsidR="00B3562C" w:rsidRPr="00580BD2" w:rsidRDefault="00B3562C" w:rsidP="00B3562C">
      <w:pPr>
        <w:pStyle w:val="ListParagraph"/>
        <w:numPr>
          <w:ilvl w:val="0"/>
          <w:numId w:val="5"/>
        </w:numPr>
        <w:rPr>
          <w:rFonts w:cstheme="majorHAnsi"/>
          <w:sz w:val="24"/>
          <w:szCs w:val="24"/>
          <w:u w:val="single"/>
        </w:rPr>
      </w:pPr>
      <w:r w:rsidRPr="00580BD2">
        <w:rPr>
          <w:rFonts w:cstheme="majorHAnsi"/>
          <w:sz w:val="24"/>
          <w:szCs w:val="24"/>
        </w:rPr>
        <w:t>Still significantly higher than England and West Midlands</w:t>
      </w:r>
    </w:p>
    <w:p w14:paraId="469EB43D" w14:textId="3F7A2AEA" w:rsidR="00B3562C" w:rsidRPr="00580BD2" w:rsidRDefault="00B3562C" w:rsidP="00B3562C">
      <w:pPr>
        <w:pStyle w:val="ListParagraph"/>
        <w:numPr>
          <w:ilvl w:val="0"/>
          <w:numId w:val="5"/>
        </w:numPr>
        <w:rPr>
          <w:rFonts w:cstheme="majorHAnsi"/>
          <w:sz w:val="24"/>
          <w:szCs w:val="24"/>
          <w:u w:val="single"/>
        </w:rPr>
      </w:pPr>
      <w:r w:rsidRPr="00580BD2">
        <w:rPr>
          <w:rFonts w:cstheme="majorHAnsi"/>
          <w:sz w:val="24"/>
          <w:szCs w:val="24"/>
        </w:rPr>
        <w:t>20</w:t>
      </w:r>
      <w:r w:rsidR="00EF3C05">
        <w:rPr>
          <w:rFonts w:cstheme="majorHAnsi"/>
          <w:sz w:val="24"/>
          <w:szCs w:val="24"/>
        </w:rPr>
        <w:t>20</w:t>
      </w:r>
      <w:r w:rsidRPr="00580BD2">
        <w:rPr>
          <w:rFonts w:cstheme="majorHAnsi"/>
          <w:sz w:val="24"/>
          <w:szCs w:val="24"/>
        </w:rPr>
        <w:t xml:space="preserve"> Sandwell </w:t>
      </w:r>
      <w:r w:rsidR="004478E9">
        <w:rPr>
          <w:rFonts w:cstheme="majorHAnsi"/>
          <w:sz w:val="24"/>
          <w:szCs w:val="24"/>
        </w:rPr>
        <w:t>8.7</w:t>
      </w:r>
      <w:r w:rsidRPr="00580BD2">
        <w:rPr>
          <w:rFonts w:cstheme="majorHAnsi"/>
          <w:sz w:val="24"/>
          <w:szCs w:val="24"/>
        </w:rPr>
        <w:t xml:space="preserve">%; England </w:t>
      </w:r>
      <w:r w:rsidR="00EF3C05">
        <w:rPr>
          <w:rFonts w:cstheme="majorHAnsi"/>
          <w:sz w:val="24"/>
          <w:szCs w:val="24"/>
        </w:rPr>
        <w:t>6.9</w:t>
      </w:r>
      <w:r w:rsidRPr="00580BD2">
        <w:rPr>
          <w:rFonts w:cstheme="majorHAnsi"/>
          <w:sz w:val="24"/>
          <w:szCs w:val="24"/>
        </w:rPr>
        <w:t>%; West Midlands 8.</w:t>
      </w:r>
      <w:r w:rsidR="00EF3C05">
        <w:rPr>
          <w:rFonts w:cstheme="majorHAnsi"/>
          <w:sz w:val="24"/>
          <w:szCs w:val="24"/>
        </w:rPr>
        <w:t>2</w:t>
      </w:r>
      <w:r w:rsidRPr="00580BD2">
        <w:rPr>
          <w:rFonts w:cstheme="majorHAnsi"/>
          <w:sz w:val="24"/>
          <w:szCs w:val="24"/>
        </w:rPr>
        <w:t>%</w:t>
      </w:r>
    </w:p>
    <w:p w14:paraId="51756598" w14:textId="77777777" w:rsidR="00B3562C" w:rsidRPr="00580BD2" w:rsidRDefault="00B3562C" w:rsidP="00B3562C">
      <w:pPr>
        <w:pStyle w:val="ListParagraph"/>
        <w:rPr>
          <w:rFonts w:cstheme="majorHAnsi"/>
          <w:sz w:val="24"/>
          <w:szCs w:val="24"/>
          <w:u w:val="single"/>
        </w:rPr>
      </w:pPr>
    </w:p>
    <w:p w14:paraId="3F8C59A0" w14:textId="71E4A093" w:rsidR="00B3562C" w:rsidRPr="00580BD2" w:rsidRDefault="00B3562C" w:rsidP="001E11C4">
      <w:pPr>
        <w:pStyle w:val="Heading3"/>
      </w:pPr>
      <w:r w:rsidRPr="00580BD2">
        <w:t>Very low birth weight of all babies</w:t>
      </w:r>
    </w:p>
    <w:p w14:paraId="2A2C3A84" w14:textId="77777777" w:rsidR="00B3562C" w:rsidRPr="00580BD2" w:rsidRDefault="00B3562C" w:rsidP="00B3562C">
      <w:pPr>
        <w:pStyle w:val="ListParagraph"/>
        <w:numPr>
          <w:ilvl w:val="0"/>
          <w:numId w:val="5"/>
        </w:numPr>
        <w:rPr>
          <w:rFonts w:cstheme="majorHAnsi"/>
          <w:sz w:val="24"/>
          <w:szCs w:val="24"/>
          <w:u w:val="single"/>
        </w:rPr>
      </w:pPr>
      <w:r w:rsidRPr="00580BD2">
        <w:rPr>
          <w:rFonts w:cstheme="majorHAnsi"/>
          <w:sz w:val="24"/>
          <w:szCs w:val="24"/>
        </w:rPr>
        <w:t>No significant change in the trend for the past 5 years</w:t>
      </w:r>
    </w:p>
    <w:p w14:paraId="7DCDA1A8" w14:textId="77777777" w:rsidR="00B3562C" w:rsidRPr="00580BD2" w:rsidRDefault="00B3562C" w:rsidP="00B3562C">
      <w:pPr>
        <w:pStyle w:val="ListParagraph"/>
        <w:numPr>
          <w:ilvl w:val="0"/>
          <w:numId w:val="5"/>
        </w:numPr>
        <w:rPr>
          <w:rFonts w:cstheme="majorHAnsi"/>
          <w:sz w:val="24"/>
          <w:szCs w:val="24"/>
          <w:u w:val="single"/>
        </w:rPr>
      </w:pPr>
      <w:r w:rsidRPr="00580BD2">
        <w:rPr>
          <w:rFonts w:cstheme="majorHAnsi"/>
          <w:sz w:val="24"/>
          <w:szCs w:val="24"/>
        </w:rPr>
        <w:t>Still significantly higher than England</w:t>
      </w:r>
    </w:p>
    <w:p w14:paraId="54BFA3B7" w14:textId="0966077C" w:rsidR="00B3562C" w:rsidRPr="00580BD2" w:rsidRDefault="00B3562C" w:rsidP="00B3562C">
      <w:pPr>
        <w:pStyle w:val="ListParagraph"/>
        <w:numPr>
          <w:ilvl w:val="0"/>
          <w:numId w:val="5"/>
        </w:numPr>
        <w:rPr>
          <w:rFonts w:cstheme="majorHAnsi"/>
          <w:sz w:val="24"/>
          <w:szCs w:val="24"/>
          <w:u w:val="single"/>
        </w:rPr>
      </w:pPr>
      <w:r w:rsidRPr="00580BD2">
        <w:rPr>
          <w:rFonts w:cstheme="majorHAnsi"/>
          <w:sz w:val="24"/>
          <w:szCs w:val="24"/>
        </w:rPr>
        <w:t>20</w:t>
      </w:r>
      <w:r w:rsidR="00EF3C05">
        <w:rPr>
          <w:rFonts w:cstheme="majorHAnsi"/>
          <w:sz w:val="24"/>
          <w:szCs w:val="24"/>
        </w:rPr>
        <w:t>20</w:t>
      </w:r>
      <w:r w:rsidRPr="00580BD2">
        <w:rPr>
          <w:rFonts w:cstheme="majorHAnsi"/>
          <w:sz w:val="24"/>
          <w:szCs w:val="24"/>
        </w:rPr>
        <w:t xml:space="preserve"> Sandwell 1.4</w:t>
      </w:r>
      <w:r w:rsidR="00EF3C05">
        <w:rPr>
          <w:rFonts w:cstheme="majorHAnsi"/>
          <w:sz w:val="24"/>
          <w:szCs w:val="24"/>
        </w:rPr>
        <w:t>6</w:t>
      </w:r>
      <w:r w:rsidRPr="00580BD2">
        <w:rPr>
          <w:rFonts w:cstheme="majorHAnsi"/>
          <w:sz w:val="24"/>
          <w:szCs w:val="24"/>
        </w:rPr>
        <w:t>%; England 1.</w:t>
      </w:r>
      <w:r w:rsidR="00EF3C05">
        <w:rPr>
          <w:rFonts w:cstheme="majorHAnsi"/>
          <w:sz w:val="24"/>
          <w:szCs w:val="24"/>
        </w:rPr>
        <w:t>0</w:t>
      </w:r>
      <w:r w:rsidR="004478E9">
        <w:rPr>
          <w:rFonts w:cstheme="majorHAnsi"/>
          <w:sz w:val="24"/>
          <w:szCs w:val="24"/>
        </w:rPr>
        <w:t>1</w:t>
      </w:r>
      <w:r w:rsidRPr="00580BD2">
        <w:rPr>
          <w:rFonts w:cstheme="majorHAnsi"/>
          <w:sz w:val="24"/>
          <w:szCs w:val="24"/>
        </w:rPr>
        <w:t>%; West Midlands 1.</w:t>
      </w:r>
      <w:r w:rsidR="00EF3C05">
        <w:rPr>
          <w:rFonts w:cstheme="majorHAnsi"/>
          <w:sz w:val="24"/>
          <w:szCs w:val="24"/>
        </w:rPr>
        <w:t>38</w:t>
      </w:r>
      <w:r w:rsidRPr="00580BD2">
        <w:rPr>
          <w:rFonts w:cstheme="majorHAnsi"/>
          <w:sz w:val="24"/>
          <w:szCs w:val="24"/>
        </w:rPr>
        <w:t>%</w:t>
      </w:r>
    </w:p>
    <w:p w14:paraId="56F87CB8" w14:textId="77777777" w:rsidR="00B3562C" w:rsidRPr="00580BD2" w:rsidRDefault="00B3562C" w:rsidP="00B3562C">
      <w:pPr>
        <w:pStyle w:val="ListParagraph"/>
        <w:rPr>
          <w:rFonts w:cstheme="majorHAnsi"/>
          <w:sz w:val="24"/>
          <w:szCs w:val="24"/>
          <w:u w:val="single"/>
        </w:rPr>
      </w:pPr>
    </w:p>
    <w:p w14:paraId="19FA1AAB" w14:textId="63A20320" w:rsidR="00B3562C" w:rsidRDefault="00B3562C" w:rsidP="005B1F6D">
      <w:pPr>
        <w:pStyle w:val="Heading2"/>
      </w:pPr>
      <w:bookmarkStart w:id="4" w:name="_Hlk13838839"/>
      <w:r w:rsidRPr="001E11C4">
        <w:t>Still Birth</w:t>
      </w:r>
      <w:r w:rsidR="00003903">
        <w:t>s</w:t>
      </w:r>
    </w:p>
    <w:p w14:paraId="74638D47" w14:textId="77777777" w:rsidR="0095374A" w:rsidRPr="0095374A" w:rsidRDefault="0095374A" w:rsidP="0095374A">
      <w:pPr>
        <w:spacing w:before="100" w:beforeAutospacing="1" w:after="100" w:afterAutospacing="1" w:line="240" w:lineRule="auto"/>
        <w:rPr>
          <w:rFonts w:eastAsia="Times New Roman" w:cstheme="minorHAnsi"/>
          <w:color w:val="0E1B26"/>
          <w:sz w:val="24"/>
          <w:szCs w:val="24"/>
          <w:lang w:eastAsia="en-GB"/>
        </w:rPr>
      </w:pPr>
      <w:r w:rsidRPr="0095374A">
        <w:rPr>
          <w:rFonts w:eastAsia="Times New Roman" w:cstheme="minorHAnsi"/>
          <w:color w:val="0E1B26"/>
          <w:sz w:val="24"/>
          <w:szCs w:val="24"/>
          <w:lang w:eastAsia="en-GB"/>
        </w:rPr>
        <w:t>Over half (52%) of stillbirths in England and Wales in 2016 were unexplained. The remainder resulted from a lack of oxygen or trauma just before or during birth (19%), congenital anomalies (17%), other specific conditions (7%) and infections (2%).</w:t>
      </w:r>
    </w:p>
    <w:p w14:paraId="2A2FC83E" w14:textId="77777777" w:rsidR="0095374A" w:rsidRPr="0095374A" w:rsidRDefault="0095374A" w:rsidP="0095374A">
      <w:pPr>
        <w:spacing w:before="100" w:beforeAutospacing="1" w:after="100" w:afterAutospacing="1" w:line="240" w:lineRule="auto"/>
        <w:rPr>
          <w:rFonts w:eastAsia="Times New Roman" w:cstheme="minorHAnsi"/>
          <w:color w:val="0E1B26"/>
          <w:sz w:val="24"/>
          <w:szCs w:val="24"/>
          <w:lang w:eastAsia="en-GB"/>
        </w:rPr>
      </w:pPr>
      <w:r w:rsidRPr="0095374A">
        <w:rPr>
          <w:rFonts w:eastAsia="Times New Roman" w:cstheme="minorHAnsi"/>
          <w:color w:val="0E1B26"/>
          <w:sz w:val="24"/>
          <w:szCs w:val="24"/>
          <w:lang w:eastAsia="en-GB"/>
        </w:rPr>
        <w:t>Stillbirths and infant deaths are associated with a number of interrelating risk factors, some of which are modifiable. They include low birth weight, prematurity, maternal obesity, smoking in pregnancy, maternal age, and inequalities across different socioeconomic and ethnic groups.</w:t>
      </w:r>
    </w:p>
    <w:bookmarkEnd w:id="4"/>
    <w:p w14:paraId="374F6B56" w14:textId="2DFCA18D" w:rsidR="00DE11C8" w:rsidRPr="00580BD2" w:rsidRDefault="0095374A" w:rsidP="0095374A">
      <w:pPr>
        <w:rPr>
          <w:rFonts w:cstheme="majorHAnsi"/>
          <w:sz w:val="24"/>
          <w:szCs w:val="24"/>
          <w:u w:val="single"/>
        </w:rPr>
      </w:pPr>
      <w:r>
        <w:rPr>
          <w:rFonts w:cstheme="majorHAnsi"/>
          <w:color w:val="333333"/>
          <w:sz w:val="24"/>
          <w:szCs w:val="24"/>
          <w:shd w:val="clear" w:color="auto" w:fill="FFFFFF"/>
        </w:rPr>
        <w:t>The r</w:t>
      </w:r>
      <w:r w:rsidR="00B3562C" w:rsidRPr="00580BD2">
        <w:rPr>
          <w:rFonts w:cstheme="majorHAnsi"/>
          <w:color w:val="333333"/>
          <w:sz w:val="24"/>
          <w:szCs w:val="24"/>
          <w:shd w:val="clear" w:color="auto" w:fill="FFFFFF"/>
        </w:rPr>
        <w:t>ate of stillbirths (foetal deaths occurring after 24 weeks of gestation) for all maternal ages per 1,000 births</w:t>
      </w:r>
      <w:r>
        <w:rPr>
          <w:rFonts w:cstheme="majorHAnsi"/>
          <w:color w:val="333333"/>
          <w:sz w:val="24"/>
          <w:szCs w:val="24"/>
          <w:shd w:val="clear" w:color="auto" w:fill="FFFFFF"/>
        </w:rPr>
        <w:t xml:space="preserve"> in Sandwell is s</w:t>
      </w:r>
      <w:r w:rsidR="00DE11C8" w:rsidRPr="00580BD2">
        <w:rPr>
          <w:rFonts w:cstheme="majorHAnsi"/>
          <w:sz w:val="24"/>
          <w:szCs w:val="24"/>
        </w:rPr>
        <w:t>ignificantly higher than England</w:t>
      </w:r>
      <w:r w:rsidR="006263BA">
        <w:rPr>
          <w:rFonts w:cstheme="majorHAnsi"/>
          <w:sz w:val="24"/>
          <w:szCs w:val="24"/>
        </w:rPr>
        <w:t>:</w:t>
      </w:r>
      <w:r w:rsidR="00DE11C8" w:rsidRPr="00580BD2">
        <w:rPr>
          <w:rFonts w:cstheme="majorHAnsi"/>
          <w:sz w:val="24"/>
          <w:szCs w:val="24"/>
        </w:rPr>
        <w:t xml:space="preserve"> </w:t>
      </w:r>
    </w:p>
    <w:p w14:paraId="7CD58C6B" w14:textId="5AFE0FDF" w:rsidR="00DE11C8" w:rsidRPr="00580BD2" w:rsidRDefault="00DE11C8" w:rsidP="00DE11C8">
      <w:pPr>
        <w:pStyle w:val="ListParagraph"/>
        <w:numPr>
          <w:ilvl w:val="0"/>
          <w:numId w:val="5"/>
        </w:numPr>
        <w:rPr>
          <w:rFonts w:cstheme="majorHAnsi"/>
          <w:sz w:val="24"/>
          <w:szCs w:val="24"/>
          <w:u w:val="single"/>
        </w:rPr>
      </w:pPr>
      <w:r w:rsidRPr="00580BD2">
        <w:rPr>
          <w:rFonts w:cstheme="majorHAnsi"/>
          <w:sz w:val="24"/>
          <w:szCs w:val="24"/>
        </w:rPr>
        <w:t>201</w:t>
      </w:r>
      <w:r w:rsidR="00290E32">
        <w:rPr>
          <w:rFonts w:cstheme="majorHAnsi"/>
          <w:sz w:val="24"/>
          <w:szCs w:val="24"/>
        </w:rPr>
        <w:t>8</w:t>
      </w:r>
      <w:r w:rsidR="00D155B1">
        <w:rPr>
          <w:rFonts w:cstheme="majorHAnsi"/>
          <w:sz w:val="24"/>
          <w:szCs w:val="24"/>
        </w:rPr>
        <w:t>-</w:t>
      </w:r>
      <w:r w:rsidR="00290E32">
        <w:rPr>
          <w:rFonts w:cstheme="majorHAnsi"/>
          <w:sz w:val="24"/>
          <w:szCs w:val="24"/>
        </w:rPr>
        <w:t>20</w:t>
      </w:r>
      <w:r w:rsidRPr="00580BD2">
        <w:rPr>
          <w:rFonts w:cstheme="majorHAnsi"/>
          <w:sz w:val="24"/>
          <w:szCs w:val="24"/>
        </w:rPr>
        <w:t xml:space="preserve"> Sandwell 5.</w:t>
      </w:r>
      <w:r w:rsidR="00D32673">
        <w:rPr>
          <w:rFonts w:cstheme="majorHAnsi"/>
          <w:sz w:val="24"/>
          <w:szCs w:val="24"/>
        </w:rPr>
        <w:t>3</w:t>
      </w:r>
      <w:r w:rsidRPr="00580BD2">
        <w:rPr>
          <w:rFonts w:cstheme="majorHAnsi"/>
          <w:sz w:val="24"/>
          <w:szCs w:val="24"/>
        </w:rPr>
        <w:t xml:space="preserve">; England </w:t>
      </w:r>
      <w:r w:rsidR="00D32673">
        <w:rPr>
          <w:rFonts w:cstheme="majorHAnsi"/>
          <w:sz w:val="24"/>
          <w:szCs w:val="24"/>
        </w:rPr>
        <w:t>3</w:t>
      </w:r>
      <w:r w:rsidRPr="00580BD2">
        <w:rPr>
          <w:rFonts w:cstheme="majorHAnsi"/>
          <w:sz w:val="24"/>
          <w:szCs w:val="24"/>
        </w:rPr>
        <w:t>.</w:t>
      </w:r>
      <w:r w:rsidR="00D32673">
        <w:rPr>
          <w:rFonts w:cstheme="majorHAnsi"/>
          <w:sz w:val="24"/>
          <w:szCs w:val="24"/>
        </w:rPr>
        <w:t>9</w:t>
      </w:r>
      <w:r w:rsidRPr="00580BD2">
        <w:rPr>
          <w:rFonts w:cstheme="majorHAnsi"/>
          <w:sz w:val="24"/>
          <w:szCs w:val="24"/>
        </w:rPr>
        <w:t>; West Midlands 4.</w:t>
      </w:r>
      <w:r w:rsidR="00D32673">
        <w:rPr>
          <w:rFonts w:cstheme="majorHAnsi"/>
          <w:sz w:val="24"/>
          <w:szCs w:val="24"/>
        </w:rPr>
        <w:t>3</w:t>
      </w:r>
      <w:r w:rsidRPr="00580BD2">
        <w:rPr>
          <w:rFonts w:cstheme="majorHAnsi"/>
          <w:sz w:val="24"/>
          <w:szCs w:val="24"/>
        </w:rPr>
        <w:t xml:space="preserve"> per 1000 births</w:t>
      </w:r>
    </w:p>
    <w:p w14:paraId="2778DE55" w14:textId="0771D578" w:rsidR="00DE11C8" w:rsidRPr="00580BD2" w:rsidRDefault="00D32673" w:rsidP="00DE11C8">
      <w:pPr>
        <w:pStyle w:val="ListParagraph"/>
        <w:numPr>
          <w:ilvl w:val="0"/>
          <w:numId w:val="5"/>
        </w:numPr>
        <w:rPr>
          <w:rFonts w:cstheme="majorHAnsi"/>
          <w:sz w:val="24"/>
          <w:szCs w:val="24"/>
          <w:u w:val="single"/>
        </w:rPr>
      </w:pPr>
      <w:r>
        <w:rPr>
          <w:rFonts w:cstheme="majorHAnsi"/>
          <w:sz w:val="24"/>
          <w:szCs w:val="24"/>
        </w:rPr>
        <w:t>2</w:t>
      </w:r>
      <w:r w:rsidRPr="00D32673">
        <w:rPr>
          <w:rFonts w:cstheme="majorHAnsi"/>
          <w:sz w:val="24"/>
          <w:szCs w:val="24"/>
          <w:vertAlign w:val="superscript"/>
        </w:rPr>
        <w:t>nd</w:t>
      </w:r>
      <w:r>
        <w:rPr>
          <w:rFonts w:cstheme="majorHAnsi"/>
          <w:sz w:val="24"/>
          <w:szCs w:val="24"/>
        </w:rPr>
        <w:t xml:space="preserve"> h</w:t>
      </w:r>
      <w:r w:rsidR="00DE11C8" w:rsidRPr="00580BD2">
        <w:rPr>
          <w:rFonts w:cstheme="majorHAnsi"/>
          <w:sz w:val="24"/>
          <w:szCs w:val="24"/>
        </w:rPr>
        <w:t>ighest rate in West Midlands following Birmingham (</w:t>
      </w:r>
      <w:r w:rsidR="00D155B1">
        <w:rPr>
          <w:rFonts w:cstheme="majorHAnsi"/>
          <w:sz w:val="24"/>
          <w:szCs w:val="24"/>
        </w:rPr>
        <w:t>5.6</w:t>
      </w:r>
      <w:r w:rsidR="00DE11C8" w:rsidRPr="00580BD2">
        <w:rPr>
          <w:rFonts w:cstheme="majorHAnsi"/>
          <w:sz w:val="24"/>
          <w:szCs w:val="24"/>
        </w:rPr>
        <w:t>)</w:t>
      </w:r>
    </w:p>
    <w:p w14:paraId="62F62749" w14:textId="54286A41" w:rsidR="00DE11C8" w:rsidRPr="007453E5" w:rsidRDefault="00DE11C8" w:rsidP="00DE11C8">
      <w:pPr>
        <w:pStyle w:val="ListParagraph"/>
        <w:numPr>
          <w:ilvl w:val="0"/>
          <w:numId w:val="5"/>
        </w:numPr>
        <w:rPr>
          <w:rFonts w:cstheme="majorHAnsi"/>
          <w:sz w:val="24"/>
          <w:szCs w:val="24"/>
          <w:u w:val="single"/>
        </w:rPr>
      </w:pPr>
      <w:r w:rsidRPr="00580BD2">
        <w:rPr>
          <w:rFonts w:cs="Arial"/>
          <w:sz w:val="24"/>
          <w:szCs w:val="24"/>
        </w:rPr>
        <w:t>Between 2011</w:t>
      </w:r>
      <w:r w:rsidR="00D155B1">
        <w:rPr>
          <w:rFonts w:cs="Arial"/>
          <w:sz w:val="24"/>
          <w:szCs w:val="24"/>
        </w:rPr>
        <w:t>-</w:t>
      </w:r>
      <w:r w:rsidRPr="00580BD2">
        <w:rPr>
          <w:rFonts w:cs="Arial"/>
          <w:sz w:val="24"/>
          <w:szCs w:val="24"/>
        </w:rPr>
        <w:t>13 and 2014</w:t>
      </w:r>
      <w:r w:rsidR="00D155B1">
        <w:rPr>
          <w:rFonts w:cs="Arial"/>
          <w:sz w:val="24"/>
          <w:szCs w:val="24"/>
        </w:rPr>
        <w:t>-</w:t>
      </w:r>
      <w:r w:rsidRPr="00580BD2">
        <w:rPr>
          <w:rFonts w:cs="Arial"/>
          <w:sz w:val="24"/>
          <w:szCs w:val="24"/>
        </w:rPr>
        <w:t xml:space="preserve">16 the rate of still births decreased from 6.5 still births to 5.4 still births in every 1000 births.  This was a similar level to the national rate.  </w:t>
      </w:r>
      <w:r w:rsidR="001E11C4">
        <w:rPr>
          <w:rFonts w:cs="Arial"/>
          <w:sz w:val="24"/>
          <w:szCs w:val="24"/>
        </w:rPr>
        <w:t>There is n</w:t>
      </w:r>
      <w:r w:rsidR="001E11C4" w:rsidRPr="00580BD2">
        <w:rPr>
          <w:rFonts w:cstheme="majorHAnsi"/>
          <w:sz w:val="24"/>
          <w:szCs w:val="24"/>
        </w:rPr>
        <w:t>o significant change in the trend for the past 5 years</w:t>
      </w:r>
      <w:r w:rsidRPr="00580BD2">
        <w:rPr>
          <w:rFonts w:cs="Arial"/>
          <w:sz w:val="24"/>
          <w:szCs w:val="24"/>
        </w:rPr>
        <w:t>.</w:t>
      </w:r>
    </w:p>
    <w:p w14:paraId="2C578A0F" w14:textId="77777777" w:rsidR="006263BA" w:rsidRDefault="006263BA" w:rsidP="007453E5">
      <w:pPr>
        <w:rPr>
          <w:rFonts w:cs="Arial"/>
          <w:b/>
          <w:sz w:val="24"/>
          <w:szCs w:val="24"/>
        </w:rPr>
      </w:pPr>
    </w:p>
    <w:p w14:paraId="14314DF1" w14:textId="77777777" w:rsidR="006F33F4" w:rsidRDefault="006F33F4">
      <w:pPr>
        <w:spacing w:after="160" w:line="259" w:lineRule="auto"/>
        <w:rPr>
          <w:rFonts w:cs="Arial"/>
          <w:b/>
          <w:sz w:val="24"/>
          <w:szCs w:val="24"/>
        </w:rPr>
      </w:pPr>
      <w:r>
        <w:rPr>
          <w:rFonts w:cs="Arial"/>
          <w:b/>
          <w:sz w:val="24"/>
          <w:szCs w:val="24"/>
        </w:rPr>
        <w:br w:type="page"/>
      </w:r>
    </w:p>
    <w:p w14:paraId="2D81322E" w14:textId="714F5A24" w:rsidR="007453E5" w:rsidRPr="007453E5" w:rsidRDefault="007453E5" w:rsidP="007453E5">
      <w:pPr>
        <w:rPr>
          <w:rFonts w:cstheme="majorHAnsi"/>
          <w:sz w:val="24"/>
          <w:szCs w:val="24"/>
          <w:u w:val="single"/>
        </w:rPr>
      </w:pPr>
      <w:r w:rsidRPr="004E1474">
        <w:rPr>
          <w:rFonts w:cs="Arial"/>
          <w:b/>
          <w:sz w:val="24"/>
          <w:szCs w:val="24"/>
        </w:rPr>
        <w:t xml:space="preserve">Figure </w:t>
      </w:r>
      <w:r>
        <w:rPr>
          <w:rFonts w:cs="Arial"/>
          <w:b/>
          <w:sz w:val="24"/>
          <w:szCs w:val="24"/>
        </w:rPr>
        <w:t>1.</w:t>
      </w:r>
      <w:r w:rsidRPr="004E1474">
        <w:rPr>
          <w:rFonts w:cs="Arial"/>
          <w:b/>
          <w:sz w:val="24"/>
          <w:szCs w:val="24"/>
        </w:rPr>
        <w:t>1</w:t>
      </w:r>
      <w:r>
        <w:rPr>
          <w:rFonts w:cs="Arial"/>
          <w:b/>
          <w:sz w:val="24"/>
          <w:szCs w:val="24"/>
        </w:rPr>
        <w:t>3</w:t>
      </w:r>
      <w:r w:rsidRPr="004E1474">
        <w:rPr>
          <w:rFonts w:cs="Arial"/>
          <w:b/>
          <w:sz w:val="24"/>
          <w:szCs w:val="24"/>
        </w:rPr>
        <w:t>:</w:t>
      </w:r>
      <w:r w:rsidR="00D32673">
        <w:rPr>
          <w:rFonts w:cs="Arial"/>
          <w:b/>
          <w:sz w:val="24"/>
          <w:szCs w:val="24"/>
        </w:rPr>
        <w:t xml:space="preserve"> Stillbirth Rate for Sandwell &amp; England</w:t>
      </w:r>
    </w:p>
    <w:p w14:paraId="20D29134" w14:textId="2DAE1671" w:rsidR="00DE11C8" w:rsidRPr="001E11C4" w:rsidRDefault="00D32673" w:rsidP="007453E5">
      <w:pPr>
        <w:rPr>
          <w:rFonts w:cstheme="majorHAnsi"/>
          <w:sz w:val="24"/>
          <w:szCs w:val="24"/>
          <w:u w:val="single"/>
        </w:rPr>
      </w:pPr>
      <w:r>
        <w:rPr>
          <w:noProof/>
        </w:rPr>
        <w:drawing>
          <wp:inline distT="0" distB="0" distL="0" distR="0" wp14:anchorId="73F55B6D" wp14:editId="26C154B1">
            <wp:extent cx="5143500" cy="2857500"/>
            <wp:effectExtent l="0" t="0" r="0" b="0"/>
            <wp:docPr id="210" name="Graph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143500" cy="2857500"/>
                    </a:xfrm>
                    <a:prstGeom prst="rect">
                      <a:avLst/>
                    </a:prstGeom>
                  </pic:spPr>
                </pic:pic>
              </a:graphicData>
            </a:graphic>
          </wp:inline>
        </w:drawing>
      </w:r>
      <w:r w:rsidR="007453E5">
        <w:rPr>
          <w:rFonts w:cstheme="majorHAnsi"/>
          <w:sz w:val="24"/>
          <w:szCs w:val="24"/>
        </w:rPr>
        <w:br/>
      </w:r>
      <w:r w:rsidR="00DE11C8" w:rsidRPr="001E11C4">
        <w:rPr>
          <w:rFonts w:cstheme="majorHAnsi"/>
          <w:sz w:val="24"/>
          <w:szCs w:val="24"/>
        </w:rPr>
        <w:t>Source: Public Health England Profiles</w:t>
      </w:r>
    </w:p>
    <w:p w14:paraId="6A4DD2F1" w14:textId="4A53D6E0" w:rsidR="002767A4" w:rsidRPr="001E11C4" w:rsidRDefault="006F33F4" w:rsidP="005B1F6D">
      <w:pPr>
        <w:pStyle w:val="Heading2"/>
      </w:pPr>
      <w:bookmarkStart w:id="5" w:name="_Hlk13838979"/>
      <w:r>
        <w:br/>
      </w:r>
      <w:r w:rsidR="002767A4" w:rsidRPr="001E11C4">
        <w:t>Community Midwifery - Late Bookers</w:t>
      </w:r>
    </w:p>
    <w:p w14:paraId="25FA13F4" w14:textId="12AF6126" w:rsidR="00AD23F8" w:rsidRDefault="00AD23F8" w:rsidP="002767A4">
      <w:pPr>
        <w:spacing w:after="0" w:line="240" w:lineRule="auto"/>
        <w:rPr>
          <w:rFonts w:cstheme="minorHAnsi"/>
          <w:color w:val="333333"/>
          <w:sz w:val="24"/>
          <w:szCs w:val="24"/>
          <w:lang w:val="en"/>
        </w:rPr>
      </w:pPr>
      <w:bookmarkStart w:id="6" w:name="_Hlk13812772"/>
      <w:bookmarkEnd w:id="5"/>
      <w:r w:rsidRPr="00AD23F8">
        <w:rPr>
          <w:rFonts w:cstheme="minorHAnsi"/>
          <w:color w:val="333333"/>
          <w:sz w:val="24"/>
          <w:szCs w:val="24"/>
          <w:lang w:val="en"/>
        </w:rPr>
        <w:t>Delayed access to antenatal care ('late booking’) has been linked to increased maternal and fetal mortality and morbidity.</w:t>
      </w:r>
    </w:p>
    <w:p w14:paraId="6D2EB862" w14:textId="4163A81C" w:rsidR="00A3051F" w:rsidRDefault="00A3051F" w:rsidP="002767A4">
      <w:pPr>
        <w:spacing w:after="0" w:line="240" w:lineRule="auto"/>
        <w:rPr>
          <w:rFonts w:cstheme="minorHAnsi"/>
          <w:color w:val="333333"/>
          <w:sz w:val="24"/>
          <w:szCs w:val="24"/>
          <w:lang w:val="en"/>
        </w:rPr>
      </w:pPr>
    </w:p>
    <w:p w14:paraId="5F1FCC89" w14:textId="2D44082B" w:rsidR="002767A4" w:rsidRPr="00580BD2" w:rsidRDefault="002767A4" w:rsidP="002767A4">
      <w:pPr>
        <w:spacing w:after="0" w:line="240" w:lineRule="auto"/>
        <w:rPr>
          <w:rFonts w:eastAsia="Times New Roman" w:cstheme="majorHAnsi"/>
          <w:color w:val="333333"/>
          <w:sz w:val="24"/>
          <w:szCs w:val="24"/>
          <w:lang w:eastAsia="en-GB"/>
        </w:rPr>
      </w:pPr>
      <w:r w:rsidRPr="00580BD2">
        <w:rPr>
          <w:rFonts w:cs="Calibri Light"/>
          <w:color w:val="333333"/>
          <w:sz w:val="24"/>
          <w:szCs w:val="24"/>
          <w:lang w:eastAsia="en-GB"/>
        </w:rPr>
        <w:t>Over a period of 12 months (June 2017 – June 2018)</w:t>
      </w:r>
      <w:r w:rsidRPr="00580BD2">
        <w:rPr>
          <w:rFonts w:eastAsia="Times New Roman" w:cstheme="majorHAnsi"/>
          <w:color w:val="333333"/>
          <w:sz w:val="24"/>
          <w:szCs w:val="24"/>
          <w:lang w:eastAsia="en-GB"/>
        </w:rPr>
        <w:t>, 21% of pregnancies managed by Sandwell and West Birmingham Hospital Trust presented late for their first booking</w:t>
      </w:r>
      <w:bookmarkEnd w:id="6"/>
      <w:r w:rsidRPr="00580BD2">
        <w:rPr>
          <w:rFonts w:eastAsia="Times New Roman" w:cstheme="majorHAnsi"/>
          <w:color w:val="333333"/>
          <w:sz w:val="24"/>
          <w:szCs w:val="24"/>
          <w:lang w:eastAsia="en-GB"/>
        </w:rPr>
        <w:t>.</w:t>
      </w:r>
    </w:p>
    <w:p w14:paraId="61F68194" w14:textId="77777777" w:rsidR="002767A4" w:rsidRPr="00580BD2" w:rsidRDefault="002767A4" w:rsidP="002767A4">
      <w:pPr>
        <w:spacing w:after="0" w:line="240" w:lineRule="auto"/>
        <w:rPr>
          <w:rFonts w:eastAsia="Times New Roman" w:cstheme="majorHAnsi"/>
          <w:color w:val="333333"/>
          <w:sz w:val="24"/>
          <w:szCs w:val="24"/>
          <w:lang w:eastAsia="en-GB"/>
        </w:rPr>
      </w:pPr>
    </w:p>
    <w:p w14:paraId="48D5F47D" w14:textId="474E8A20" w:rsidR="002767A4" w:rsidRPr="00580BD2" w:rsidRDefault="002767A4" w:rsidP="002767A4">
      <w:pPr>
        <w:pStyle w:val="ListParagraph"/>
        <w:numPr>
          <w:ilvl w:val="0"/>
          <w:numId w:val="6"/>
        </w:numPr>
        <w:spacing w:after="0" w:line="240" w:lineRule="auto"/>
        <w:rPr>
          <w:rFonts w:eastAsia="Times New Roman" w:cstheme="majorHAnsi"/>
          <w:color w:val="333333"/>
          <w:sz w:val="24"/>
          <w:szCs w:val="24"/>
          <w:lang w:eastAsia="en-GB"/>
        </w:rPr>
      </w:pPr>
      <w:r w:rsidRPr="00580BD2">
        <w:rPr>
          <w:rFonts w:eastAsia="Times New Roman" w:cstheme="majorHAnsi"/>
          <w:color w:val="333333"/>
          <w:sz w:val="24"/>
          <w:szCs w:val="24"/>
          <w:lang w:eastAsia="en-GB"/>
        </w:rPr>
        <w:t>50% of those presentin</w:t>
      </w:r>
      <w:r w:rsidR="00A02604">
        <w:rPr>
          <w:rFonts w:eastAsia="Times New Roman" w:cstheme="majorHAnsi"/>
          <w:color w:val="333333"/>
          <w:sz w:val="24"/>
          <w:szCs w:val="24"/>
          <w:lang w:eastAsia="en-GB"/>
        </w:rPr>
        <w:t>g late are from West Birmingham.</w:t>
      </w:r>
      <w:r w:rsidRPr="00580BD2">
        <w:rPr>
          <w:rFonts w:eastAsia="Times New Roman" w:cstheme="majorHAnsi"/>
          <w:color w:val="333333"/>
          <w:sz w:val="24"/>
          <w:szCs w:val="24"/>
          <w:lang w:eastAsia="en-GB"/>
        </w:rPr>
        <w:t xml:space="preserve"> </w:t>
      </w:r>
    </w:p>
    <w:p w14:paraId="53114490" w14:textId="54653F1A" w:rsidR="002767A4" w:rsidRPr="00580BD2" w:rsidRDefault="002767A4" w:rsidP="002767A4">
      <w:pPr>
        <w:pStyle w:val="ListParagraph"/>
        <w:numPr>
          <w:ilvl w:val="0"/>
          <w:numId w:val="6"/>
        </w:numPr>
        <w:spacing w:after="0" w:line="240" w:lineRule="auto"/>
        <w:rPr>
          <w:rFonts w:eastAsia="Times New Roman" w:cstheme="majorHAnsi"/>
          <w:color w:val="333333"/>
          <w:sz w:val="24"/>
          <w:szCs w:val="24"/>
          <w:lang w:eastAsia="en-GB"/>
        </w:rPr>
      </w:pPr>
      <w:r w:rsidRPr="00580BD2">
        <w:rPr>
          <w:rFonts w:eastAsia="Times New Roman" w:cstheme="majorHAnsi"/>
          <w:color w:val="333333"/>
          <w:sz w:val="24"/>
          <w:szCs w:val="24"/>
          <w:lang w:eastAsia="en-GB"/>
        </w:rPr>
        <w:t>37% of those presenting late are from Sandwell</w:t>
      </w:r>
      <w:r w:rsidR="00A02604">
        <w:rPr>
          <w:rFonts w:eastAsia="Times New Roman" w:cstheme="majorHAnsi"/>
          <w:color w:val="333333"/>
          <w:sz w:val="24"/>
          <w:szCs w:val="24"/>
          <w:lang w:eastAsia="en-GB"/>
        </w:rPr>
        <w:t>.</w:t>
      </w:r>
      <w:r w:rsidRPr="00580BD2">
        <w:rPr>
          <w:rFonts w:eastAsia="Times New Roman" w:cstheme="majorHAnsi"/>
          <w:color w:val="333333"/>
          <w:sz w:val="24"/>
          <w:szCs w:val="24"/>
          <w:lang w:eastAsia="en-GB"/>
        </w:rPr>
        <w:t xml:space="preserve"> </w:t>
      </w:r>
    </w:p>
    <w:p w14:paraId="58802A64" w14:textId="77777777" w:rsidR="002767A4" w:rsidRPr="00580BD2" w:rsidRDefault="002767A4" w:rsidP="002767A4">
      <w:pPr>
        <w:pStyle w:val="ListParagraph"/>
        <w:numPr>
          <w:ilvl w:val="0"/>
          <w:numId w:val="6"/>
        </w:numPr>
        <w:spacing w:after="0" w:line="240" w:lineRule="auto"/>
        <w:rPr>
          <w:rFonts w:eastAsia="Times New Roman" w:cstheme="majorHAnsi"/>
          <w:color w:val="333333"/>
          <w:sz w:val="24"/>
          <w:szCs w:val="24"/>
          <w:lang w:eastAsia="en-GB"/>
        </w:rPr>
      </w:pPr>
      <w:r w:rsidRPr="00580BD2">
        <w:rPr>
          <w:rFonts w:eastAsia="Times New Roman" w:cstheme="majorHAnsi"/>
          <w:color w:val="333333"/>
          <w:sz w:val="24"/>
          <w:szCs w:val="24"/>
          <w:lang w:eastAsia="en-GB"/>
        </w:rPr>
        <w:t>13% of those presenting late are either young parents or residents outside of Sandwell and West Birmingham.</w:t>
      </w:r>
    </w:p>
    <w:p w14:paraId="47E7359D" w14:textId="77777777" w:rsidR="002767A4" w:rsidRPr="00580BD2" w:rsidRDefault="002767A4" w:rsidP="002767A4">
      <w:pPr>
        <w:spacing w:after="0" w:line="240" w:lineRule="auto"/>
        <w:ind w:left="360"/>
        <w:rPr>
          <w:rFonts w:eastAsia="Times New Roman" w:cstheme="majorHAnsi"/>
          <w:color w:val="333333"/>
          <w:sz w:val="24"/>
          <w:szCs w:val="24"/>
          <w:lang w:eastAsia="en-GB"/>
        </w:rPr>
      </w:pPr>
    </w:p>
    <w:p w14:paraId="0C00A879" w14:textId="541F48F8" w:rsidR="002767A4" w:rsidRPr="00580BD2" w:rsidRDefault="00A02604" w:rsidP="00765CD8">
      <w:pPr>
        <w:spacing w:after="0" w:line="240" w:lineRule="auto"/>
        <w:rPr>
          <w:rFonts w:eastAsia="Times New Roman" w:cstheme="majorHAnsi"/>
          <w:color w:val="333333"/>
          <w:sz w:val="24"/>
          <w:szCs w:val="24"/>
          <w:lang w:eastAsia="en-GB"/>
        </w:rPr>
      </w:pPr>
      <w:r>
        <w:rPr>
          <w:rFonts w:eastAsia="Times New Roman" w:cstheme="majorHAnsi"/>
          <w:color w:val="333333"/>
          <w:sz w:val="24"/>
          <w:szCs w:val="24"/>
          <w:lang w:eastAsia="en-GB"/>
        </w:rPr>
        <w:t xml:space="preserve">Table </w:t>
      </w:r>
      <w:r w:rsidR="00DA1C23">
        <w:rPr>
          <w:rFonts w:eastAsia="Times New Roman" w:cstheme="majorHAnsi"/>
          <w:color w:val="333333"/>
          <w:sz w:val="24"/>
          <w:szCs w:val="24"/>
          <w:lang w:eastAsia="en-GB"/>
        </w:rPr>
        <w:t>1.</w:t>
      </w:r>
      <w:r w:rsidR="006F33F4">
        <w:rPr>
          <w:rFonts w:eastAsia="Times New Roman" w:cstheme="majorHAnsi"/>
          <w:color w:val="333333"/>
          <w:sz w:val="24"/>
          <w:szCs w:val="24"/>
          <w:lang w:eastAsia="en-GB"/>
        </w:rPr>
        <w:t>4</w:t>
      </w:r>
      <w:r w:rsidR="002767A4" w:rsidRPr="00580BD2">
        <w:rPr>
          <w:rFonts w:eastAsia="Times New Roman" w:cstheme="majorHAnsi"/>
          <w:color w:val="333333"/>
          <w:sz w:val="24"/>
          <w:szCs w:val="24"/>
          <w:lang w:eastAsia="en-GB"/>
        </w:rPr>
        <w:t xml:space="preserve"> shows late booking split by different area teams. </w:t>
      </w:r>
    </w:p>
    <w:p w14:paraId="104BD4AB" w14:textId="77777777" w:rsidR="002767A4" w:rsidRPr="00580BD2" w:rsidRDefault="002767A4" w:rsidP="00765CD8">
      <w:pPr>
        <w:spacing w:after="0" w:line="240" w:lineRule="auto"/>
        <w:rPr>
          <w:rFonts w:eastAsia="Times New Roman" w:cstheme="majorHAnsi"/>
          <w:color w:val="333333"/>
          <w:sz w:val="24"/>
          <w:szCs w:val="24"/>
          <w:lang w:eastAsia="en-GB"/>
        </w:rPr>
      </w:pPr>
    </w:p>
    <w:p w14:paraId="1E82F6D2" w14:textId="1140D866" w:rsidR="002767A4" w:rsidRPr="004E1474" w:rsidRDefault="004E1474" w:rsidP="00B13D4A">
      <w:pPr>
        <w:pStyle w:val="ListParagraph"/>
        <w:numPr>
          <w:ilvl w:val="0"/>
          <w:numId w:val="14"/>
        </w:numPr>
        <w:spacing w:line="240" w:lineRule="auto"/>
        <w:ind w:left="717" w:hanging="357"/>
        <w:contextualSpacing w:val="0"/>
        <w:rPr>
          <w:rFonts w:eastAsia="Times New Roman" w:cstheme="majorHAnsi"/>
          <w:color w:val="333333"/>
          <w:sz w:val="24"/>
          <w:szCs w:val="24"/>
          <w:lang w:eastAsia="en-GB"/>
        </w:rPr>
      </w:pPr>
      <w:r w:rsidRPr="004E1474">
        <w:rPr>
          <w:rFonts w:eastAsia="Times New Roman" w:cstheme="majorHAnsi"/>
          <w:color w:val="333333"/>
          <w:sz w:val="24"/>
          <w:szCs w:val="24"/>
          <w:lang w:eastAsia="en-GB"/>
        </w:rPr>
        <w:t>For Sandwell, the p</w:t>
      </w:r>
      <w:r w:rsidR="002767A4" w:rsidRPr="004E1474">
        <w:rPr>
          <w:rFonts w:eastAsia="Times New Roman" w:cstheme="majorHAnsi"/>
          <w:color w:val="333333"/>
          <w:sz w:val="24"/>
          <w:szCs w:val="24"/>
          <w:lang w:eastAsia="en-GB"/>
        </w:rPr>
        <w:t>roportion of late booking across all areas range</w:t>
      </w:r>
      <w:r w:rsidRPr="004E1474">
        <w:rPr>
          <w:rFonts w:eastAsia="Times New Roman" w:cstheme="majorHAnsi"/>
          <w:color w:val="333333"/>
          <w:sz w:val="24"/>
          <w:szCs w:val="24"/>
          <w:lang w:eastAsia="en-GB"/>
        </w:rPr>
        <w:t>s</w:t>
      </w:r>
      <w:r w:rsidR="002767A4" w:rsidRPr="004E1474">
        <w:rPr>
          <w:rFonts w:eastAsia="Times New Roman" w:cstheme="majorHAnsi"/>
          <w:color w:val="333333"/>
          <w:sz w:val="24"/>
          <w:szCs w:val="24"/>
          <w:lang w:eastAsia="en-GB"/>
        </w:rPr>
        <w:t xml:space="preserve"> from 12% in Rowley and Tipton and 16% in Smethwick and Oldbury. </w:t>
      </w:r>
    </w:p>
    <w:p w14:paraId="43EAE4B6" w14:textId="4E10F466" w:rsidR="002767A4" w:rsidRPr="004E1474" w:rsidRDefault="002767A4" w:rsidP="00B13D4A">
      <w:pPr>
        <w:pStyle w:val="ListParagraph"/>
        <w:numPr>
          <w:ilvl w:val="0"/>
          <w:numId w:val="14"/>
        </w:numPr>
        <w:spacing w:line="240" w:lineRule="auto"/>
        <w:ind w:left="717" w:hanging="357"/>
        <w:contextualSpacing w:val="0"/>
        <w:rPr>
          <w:rFonts w:eastAsia="Times New Roman" w:cstheme="majorHAnsi"/>
          <w:color w:val="333333"/>
          <w:sz w:val="24"/>
          <w:szCs w:val="24"/>
          <w:lang w:eastAsia="en-GB"/>
        </w:rPr>
      </w:pPr>
      <w:r w:rsidRPr="004E1474">
        <w:rPr>
          <w:rFonts w:eastAsia="Times New Roman" w:cstheme="majorHAnsi"/>
          <w:color w:val="333333"/>
          <w:sz w:val="24"/>
          <w:szCs w:val="24"/>
          <w:lang w:eastAsia="en-GB"/>
        </w:rPr>
        <w:t>For West Birmingham</w:t>
      </w:r>
      <w:r w:rsidR="004E1474" w:rsidRPr="004E1474">
        <w:rPr>
          <w:rFonts w:eastAsia="Times New Roman" w:cstheme="majorHAnsi"/>
          <w:color w:val="333333"/>
          <w:sz w:val="24"/>
          <w:szCs w:val="24"/>
          <w:lang w:eastAsia="en-GB"/>
        </w:rPr>
        <w:t>, the p</w:t>
      </w:r>
      <w:r w:rsidRPr="004E1474">
        <w:rPr>
          <w:rFonts w:eastAsia="Times New Roman" w:cstheme="majorHAnsi"/>
          <w:color w:val="333333"/>
          <w:sz w:val="24"/>
          <w:szCs w:val="24"/>
          <w:lang w:eastAsia="en-GB"/>
        </w:rPr>
        <w:t>roportion late booking is substantially higher than Sandwell and ranges from 18.8% in Great Barr and Kingstanding to 28.5% in Handsworth</w:t>
      </w:r>
      <w:r w:rsidR="00765CD8">
        <w:rPr>
          <w:rFonts w:eastAsia="Times New Roman" w:cstheme="majorHAnsi"/>
          <w:color w:val="333333"/>
          <w:sz w:val="24"/>
          <w:szCs w:val="24"/>
          <w:lang w:eastAsia="en-GB"/>
        </w:rPr>
        <w:t>.</w:t>
      </w:r>
    </w:p>
    <w:p w14:paraId="7A1CBF79" w14:textId="77777777" w:rsidR="00765CD8" w:rsidRDefault="00765CD8" w:rsidP="00B13D4A">
      <w:pPr>
        <w:pStyle w:val="ListParagraph"/>
        <w:numPr>
          <w:ilvl w:val="0"/>
          <w:numId w:val="14"/>
        </w:numPr>
        <w:spacing w:after="0" w:line="240" w:lineRule="auto"/>
        <w:ind w:left="720"/>
        <w:contextualSpacing w:val="0"/>
        <w:rPr>
          <w:rFonts w:eastAsia="Times New Roman" w:cstheme="majorHAnsi"/>
          <w:color w:val="333333"/>
          <w:sz w:val="24"/>
          <w:szCs w:val="24"/>
          <w:lang w:eastAsia="en-GB"/>
        </w:rPr>
      </w:pPr>
      <w:r w:rsidRPr="00765CD8">
        <w:rPr>
          <w:rFonts w:eastAsia="Times New Roman" w:cstheme="majorHAnsi"/>
          <w:color w:val="333333"/>
          <w:sz w:val="24"/>
          <w:szCs w:val="24"/>
          <w:lang w:eastAsia="en-GB"/>
        </w:rPr>
        <w:t>Y</w:t>
      </w:r>
      <w:r w:rsidR="002767A4" w:rsidRPr="00765CD8">
        <w:rPr>
          <w:rFonts w:eastAsia="Times New Roman" w:cstheme="majorHAnsi"/>
          <w:color w:val="333333"/>
          <w:sz w:val="24"/>
          <w:szCs w:val="24"/>
          <w:lang w:eastAsia="en-GB"/>
        </w:rPr>
        <w:t>oung parents and out of area bookings have the highest proportion of pregnancies booking late.  For young parent, 4 out 10 pregnancies will be booked late.</w:t>
      </w:r>
    </w:p>
    <w:p w14:paraId="1933E841" w14:textId="14B18A8B" w:rsidR="002767A4" w:rsidRPr="00765CD8" w:rsidRDefault="002767A4" w:rsidP="00B13D4A">
      <w:pPr>
        <w:pStyle w:val="ListParagraph"/>
        <w:numPr>
          <w:ilvl w:val="0"/>
          <w:numId w:val="14"/>
        </w:numPr>
        <w:spacing w:after="0" w:line="240" w:lineRule="auto"/>
        <w:ind w:left="720"/>
        <w:contextualSpacing w:val="0"/>
        <w:rPr>
          <w:rFonts w:eastAsia="Times New Roman" w:cstheme="majorHAnsi"/>
          <w:color w:val="333333"/>
          <w:sz w:val="24"/>
          <w:szCs w:val="24"/>
          <w:lang w:eastAsia="en-GB"/>
        </w:rPr>
      </w:pPr>
      <w:r w:rsidRPr="00765CD8">
        <w:rPr>
          <w:rFonts w:eastAsia="Times New Roman" w:cstheme="majorHAnsi"/>
          <w:color w:val="333333"/>
          <w:sz w:val="24"/>
          <w:szCs w:val="24"/>
          <w:lang w:eastAsia="en-GB"/>
        </w:rPr>
        <w:t xml:space="preserve">Half of all out of area pregnancies will be booked late. </w:t>
      </w:r>
    </w:p>
    <w:p w14:paraId="531FA931" w14:textId="77777777" w:rsidR="00083E28" w:rsidRDefault="00083E28" w:rsidP="002767A4">
      <w:pPr>
        <w:spacing w:after="0" w:line="240" w:lineRule="auto"/>
        <w:ind w:left="360"/>
        <w:rPr>
          <w:rFonts w:eastAsia="Times New Roman" w:cstheme="majorHAnsi"/>
          <w:b/>
          <w:color w:val="333333"/>
          <w:sz w:val="24"/>
          <w:szCs w:val="24"/>
          <w:lang w:eastAsia="en-GB"/>
        </w:rPr>
      </w:pPr>
    </w:p>
    <w:p w14:paraId="2D58EC9F" w14:textId="77777777" w:rsidR="00083E28" w:rsidRDefault="00083E28" w:rsidP="002767A4">
      <w:pPr>
        <w:spacing w:after="0" w:line="240" w:lineRule="auto"/>
        <w:ind w:left="360"/>
        <w:rPr>
          <w:rFonts w:eastAsia="Times New Roman" w:cstheme="majorHAnsi"/>
          <w:b/>
          <w:color w:val="333333"/>
          <w:sz w:val="24"/>
          <w:szCs w:val="24"/>
          <w:lang w:eastAsia="en-GB"/>
        </w:rPr>
      </w:pPr>
    </w:p>
    <w:p w14:paraId="39892BCA" w14:textId="77777777" w:rsidR="00083E28" w:rsidRDefault="00083E28">
      <w:pPr>
        <w:spacing w:after="160" w:line="259" w:lineRule="auto"/>
        <w:rPr>
          <w:rFonts w:eastAsia="Times New Roman" w:cstheme="majorHAnsi"/>
          <w:b/>
          <w:color w:val="333333"/>
          <w:sz w:val="24"/>
          <w:szCs w:val="24"/>
          <w:lang w:eastAsia="en-GB"/>
        </w:rPr>
      </w:pPr>
      <w:r>
        <w:rPr>
          <w:rFonts w:eastAsia="Times New Roman" w:cstheme="majorHAnsi"/>
          <w:b/>
          <w:color w:val="333333"/>
          <w:sz w:val="24"/>
          <w:szCs w:val="24"/>
          <w:lang w:eastAsia="en-GB"/>
        </w:rPr>
        <w:br w:type="page"/>
      </w:r>
    </w:p>
    <w:p w14:paraId="4E6C716C" w14:textId="2BCFC82F" w:rsidR="00A02604" w:rsidRPr="00580BD2" w:rsidRDefault="00A02604" w:rsidP="002767A4">
      <w:pPr>
        <w:spacing w:after="0" w:line="240" w:lineRule="auto"/>
        <w:ind w:left="360"/>
        <w:rPr>
          <w:rFonts w:eastAsia="Times New Roman" w:cstheme="majorHAnsi"/>
          <w:color w:val="333333"/>
          <w:sz w:val="24"/>
          <w:szCs w:val="24"/>
          <w:lang w:eastAsia="en-GB"/>
        </w:rPr>
      </w:pPr>
      <w:r w:rsidRPr="004E1474">
        <w:rPr>
          <w:rFonts w:eastAsia="Times New Roman" w:cstheme="majorHAnsi"/>
          <w:b/>
          <w:color w:val="333333"/>
          <w:sz w:val="24"/>
          <w:szCs w:val="24"/>
          <w:lang w:eastAsia="en-GB"/>
        </w:rPr>
        <w:t xml:space="preserve">Table </w:t>
      </w:r>
      <w:r w:rsidR="00DA1C23">
        <w:rPr>
          <w:rFonts w:eastAsia="Times New Roman" w:cstheme="majorHAnsi"/>
          <w:b/>
          <w:color w:val="333333"/>
          <w:sz w:val="24"/>
          <w:szCs w:val="24"/>
          <w:lang w:eastAsia="en-GB"/>
        </w:rPr>
        <w:t>1.</w:t>
      </w:r>
      <w:r w:rsidR="006F33F4">
        <w:rPr>
          <w:rFonts w:eastAsia="Times New Roman" w:cstheme="majorHAnsi"/>
          <w:b/>
          <w:color w:val="333333"/>
          <w:sz w:val="24"/>
          <w:szCs w:val="24"/>
          <w:lang w:eastAsia="en-GB"/>
        </w:rPr>
        <w:t>4</w:t>
      </w:r>
      <w:r w:rsidRPr="004E1474">
        <w:rPr>
          <w:rFonts w:eastAsia="Times New Roman" w:cstheme="majorHAnsi"/>
          <w:b/>
          <w:color w:val="333333"/>
          <w:sz w:val="24"/>
          <w:szCs w:val="24"/>
          <w:lang w:eastAsia="en-GB"/>
        </w:rPr>
        <w:t>:</w:t>
      </w:r>
      <w:r>
        <w:rPr>
          <w:rFonts w:eastAsia="Times New Roman" w:cstheme="majorHAnsi"/>
          <w:color w:val="333333"/>
          <w:sz w:val="24"/>
          <w:szCs w:val="24"/>
          <w:lang w:eastAsia="en-GB"/>
        </w:rPr>
        <w:t xml:space="preserve"> </w:t>
      </w:r>
      <w:r w:rsidRPr="004E1474">
        <w:rPr>
          <w:rFonts w:eastAsia="Times New Roman" w:cstheme="majorHAnsi"/>
          <w:b/>
          <w:color w:val="333333"/>
          <w:sz w:val="24"/>
          <w:szCs w:val="24"/>
          <w:lang w:eastAsia="en-GB"/>
        </w:rPr>
        <w:t>Late Bookers 2017/18</w:t>
      </w:r>
    </w:p>
    <w:p w14:paraId="7761CCB8" w14:textId="77777777" w:rsidR="002767A4" w:rsidRPr="00580BD2" w:rsidRDefault="002767A4" w:rsidP="002767A4">
      <w:pPr>
        <w:spacing w:after="0" w:line="240" w:lineRule="auto"/>
        <w:rPr>
          <w:rFonts w:eastAsia="Times New Roman" w:cstheme="majorHAnsi"/>
          <w:color w:val="333333"/>
          <w:sz w:val="24"/>
          <w:szCs w:val="24"/>
          <w:lang w:eastAsia="en-GB"/>
        </w:rPr>
      </w:pPr>
    </w:p>
    <w:tbl>
      <w:tblPr>
        <w:tblW w:w="7720" w:type="dxa"/>
        <w:tblInd w:w="644" w:type="dxa"/>
        <w:tblLook w:val="04A0" w:firstRow="1" w:lastRow="0" w:firstColumn="1" w:lastColumn="0" w:noHBand="0" w:noVBand="1"/>
      </w:tblPr>
      <w:tblGrid>
        <w:gridCol w:w="1680"/>
        <w:gridCol w:w="3640"/>
        <w:gridCol w:w="2400"/>
      </w:tblGrid>
      <w:tr w:rsidR="002767A4" w:rsidRPr="00580BD2" w14:paraId="05BEE641" w14:textId="77777777" w:rsidTr="006F33F4">
        <w:trPr>
          <w:trHeight w:hRule="exact" w:val="397"/>
        </w:trPr>
        <w:tc>
          <w:tcPr>
            <w:tcW w:w="5320" w:type="dxa"/>
            <w:gridSpan w:val="2"/>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7DF79724"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 </w:t>
            </w:r>
          </w:p>
        </w:tc>
        <w:tc>
          <w:tcPr>
            <w:tcW w:w="2400" w:type="dxa"/>
            <w:tcBorders>
              <w:top w:val="single" w:sz="8" w:space="0" w:color="auto"/>
              <w:left w:val="nil"/>
              <w:bottom w:val="single" w:sz="4" w:space="0" w:color="auto"/>
              <w:right w:val="single" w:sz="8" w:space="0" w:color="auto"/>
            </w:tcBorders>
            <w:shd w:val="clear" w:color="000000" w:fill="F2F2F2"/>
            <w:vAlign w:val="center"/>
            <w:hideMark/>
          </w:tcPr>
          <w:p w14:paraId="1E6E3A4A" w14:textId="77777777" w:rsidR="002767A4" w:rsidRPr="00580BD2" w:rsidRDefault="002767A4" w:rsidP="00866CAC">
            <w:pPr>
              <w:spacing w:after="0" w:line="240" w:lineRule="auto"/>
              <w:jc w:val="center"/>
              <w:rPr>
                <w:rFonts w:eastAsia="Times New Roman" w:cs="Calibri"/>
                <w:b/>
                <w:bCs/>
                <w:color w:val="000000"/>
                <w:sz w:val="24"/>
                <w:szCs w:val="24"/>
                <w:lang w:eastAsia="en-GB"/>
              </w:rPr>
            </w:pPr>
            <w:r w:rsidRPr="00580BD2">
              <w:rPr>
                <w:rFonts w:eastAsia="Times New Roman" w:cs="Calibri"/>
                <w:b/>
                <w:bCs/>
                <w:color w:val="000000"/>
                <w:sz w:val="24"/>
                <w:szCs w:val="24"/>
                <w:lang w:eastAsia="en-GB"/>
              </w:rPr>
              <w:t xml:space="preserve">% Booking Late </w:t>
            </w:r>
          </w:p>
        </w:tc>
      </w:tr>
      <w:tr w:rsidR="002767A4" w:rsidRPr="00580BD2" w14:paraId="603E4683" w14:textId="77777777" w:rsidTr="006F33F4">
        <w:trPr>
          <w:trHeight w:hRule="exact" w:val="397"/>
        </w:trPr>
        <w:tc>
          <w:tcPr>
            <w:tcW w:w="1680" w:type="dxa"/>
            <w:vMerge w:val="restart"/>
            <w:tcBorders>
              <w:top w:val="nil"/>
              <w:left w:val="single" w:sz="8" w:space="0" w:color="auto"/>
              <w:bottom w:val="single" w:sz="4" w:space="0" w:color="auto"/>
              <w:right w:val="single" w:sz="4" w:space="0" w:color="auto"/>
            </w:tcBorders>
            <w:shd w:val="clear" w:color="000000" w:fill="F2F2F2"/>
            <w:vAlign w:val="bottom"/>
            <w:hideMark/>
          </w:tcPr>
          <w:p w14:paraId="0793F607" w14:textId="77777777" w:rsidR="002767A4" w:rsidRPr="00580BD2" w:rsidRDefault="002767A4" w:rsidP="00866CAC">
            <w:pPr>
              <w:spacing w:after="0" w:line="240" w:lineRule="auto"/>
              <w:jc w:val="center"/>
              <w:rPr>
                <w:rFonts w:eastAsia="Times New Roman" w:cs="Calibri"/>
                <w:b/>
                <w:bCs/>
                <w:color w:val="000000"/>
                <w:sz w:val="24"/>
                <w:szCs w:val="24"/>
                <w:lang w:eastAsia="en-GB"/>
              </w:rPr>
            </w:pPr>
            <w:r w:rsidRPr="00580BD2">
              <w:rPr>
                <w:rFonts w:eastAsia="Times New Roman" w:cs="Calibri"/>
                <w:b/>
                <w:bCs/>
                <w:color w:val="000000"/>
                <w:sz w:val="24"/>
                <w:szCs w:val="24"/>
                <w:lang w:eastAsia="en-GB"/>
              </w:rPr>
              <w:t>Sandwell Team</w:t>
            </w:r>
          </w:p>
        </w:tc>
        <w:tc>
          <w:tcPr>
            <w:tcW w:w="3640" w:type="dxa"/>
            <w:tcBorders>
              <w:top w:val="nil"/>
              <w:left w:val="nil"/>
              <w:bottom w:val="single" w:sz="4" w:space="0" w:color="auto"/>
              <w:right w:val="single" w:sz="4" w:space="0" w:color="auto"/>
            </w:tcBorders>
            <w:shd w:val="clear" w:color="auto" w:fill="auto"/>
            <w:vAlign w:val="center"/>
            <w:hideMark/>
          </w:tcPr>
          <w:p w14:paraId="525216AD"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Rowley and Tipton</w:t>
            </w:r>
          </w:p>
        </w:tc>
        <w:tc>
          <w:tcPr>
            <w:tcW w:w="2400" w:type="dxa"/>
            <w:tcBorders>
              <w:top w:val="nil"/>
              <w:left w:val="nil"/>
              <w:bottom w:val="single" w:sz="4" w:space="0" w:color="auto"/>
              <w:right w:val="single" w:sz="8" w:space="0" w:color="auto"/>
            </w:tcBorders>
            <w:shd w:val="clear" w:color="auto" w:fill="auto"/>
            <w:vAlign w:val="center"/>
            <w:hideMark/>
          </w:tcPr>
          <w:p w14:paraId="323CC42A" w14:textId="77777777" w:rsidR="002767A4" w:rsidRPr="00580BD2" w:rsidRDefault="002767A4" w:rsidP="00866CAC">
            <w:pPr>
              <w:spacing w:after="0" w:line="240" w:lineRule="auto"/>
              <w:jc w:val="center"/>
              <w:rPr>
                <w:rFonts w:eastAsia="Times New Roman" w:cs="Calibri"/>
                <w:color w:val="000000"/>
                <w:sz w:val="24"/>
                <w:szCs w:val="24"/>
                <w:lang w:eastAsia="en-GB"/>
              </w:rPr>
            </w:pPr>
            <w:r w:rsidRPr="00580BD2">
              <w:rPr>
                <w:rFonts w:eastAsia="Times New Roman" w:cs="Calibri"/>
                <w:color w:val="000000"/>
                <w:sz w:val="24"/>
                <w:szCs w:val="24"/>
                <w:lang w:eastAsia="en-GB"/>
              </w:rPr>
              <w:t>12.3%</w:t>
            </w:r>
          </w:p>
        </w:tc>
      </w:tr>
      <w:tr w:rsidR="002767A4" w:rsidRPr="00580BD2" w14:paraId="64E37798" w14:textId="77777777" w:rsidTr="006F33F4">
        <w:trPr>
          <w:trHeight w:hRule="exact" w:val="397"/>
        </w:trPr>
        <w:tc>
          <w:tcPr>
            <w:tcW w:w="1680" w:type="dxa"/>
            <w:vMerge/>
            <w:tcBorders>
              <w:top w:val="nil"/>
              <w:left w:val="single" w:sz="8" w:space="0" w:color="auto"/>
              <w:bottom w:val="single" w:sz="4" w:space="0" w:color="auto"/>
              <w:right w:val="single" w:sz="4" w:space="0" w:color="auto"/>
            </w:tcBorders>
            <w:vAlign w:val="center"/>
            <w:hideMark/>
          </w:tcPr>
          <w:p w14:paraId="502405D3" w14:textId="77777777" w:rsidR="002767A4" w:rsidRPr="00580BD2" w:rsidRDefault="002767A4" w:rsidP="00866CAC">
            <w:pPr>
              <w:spacing w:after="0" w:line="240" w:lineRule="auto"/>
              <w:rPr>
                <w:rFonts w:eastAsia="Times New Roman" w:cs="Calibri"/>
                <w:b/>
                <w:bCs/>
                <w:color w:val="000000"/>
                <w:sz w:val="24"/>
                <w:szCs w:val="24"/>
                <w:lang w:eastAsia="en-GB"/>
              </w:rPr>
            </w:pPr>
          </w:p>
        </w:tc>
        <w:tc>
          <w:tcPr>
            <w:tcW w:w="3640" w:type="dxa"/>
            <w:tcBorders>
              <w:top w:val="nil"/>
              <w:left w:val="nil"/>
              <w:bottom w:val="single" w:sz="4" w:space="0" w:color="auto"/>
              <w:right w:val="single" w:sz="4" w:space="0" w:color="auto"/>
            </w:tcBorders>
            <w:shd w:val="clear" w:color="auto" w:fill="auto"/>
            <w:vAlign w:val="center"/>
            <w:hideMark/>
          </w:tcPr>
          <w:p w14:paraId="1100619F"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Smethwick and Oldbury</w:t>
            </w:r>
          </w:p>
        </w:tc>
        <w:tc>
          <w:tcPr>
            <w:tcW w:w="2400" w:type="dxa"/>
            <w:tcBorders>
              <w:top w:val="nil"/>
              <w:left w:val="nil"/>
              <w:bottom w:val="single" w:sz="4" w:space="0" w:color="auto"/>
              <w:right w:val="single" w:sz="8" w:space="0" w:color="auto"/>
            </w:tcBorders>
            <w:shd w:val="clear" w:color="auto" w:fill="auto"/>
            <w:vAlign w:val="center"/>
            <w:hideMark/>
          </w:tcPr>
          <w:p w14:paraId="56ADCECD" w14:textId="77777777" w:rsidR="002767A4" w:rsidRPr="00580BD2" w:rsidRDefault="002767A4" w:rsidP="00866CAC">
            <w:pPr>
              <w:spacing w:after="0" w:line="240" w:lineRule="auto"/>
              <w:jc w:val="center"/>
              <w:rPr>
                <w:rFonts w:eastAsia="Times New Roman" w:cs="Calibri"/>
                <w:color w:val="000000"/>
                <w:sz w:val="24"/>
                <w:szCs w:val="24"/>
                <w:lang w:eastAsia="en-GB"/>
              </w:rPr>
            </w:pPr>
            <w:r w:rsidRPr="00580BD2">
              <w:rPr>
                <w:rFonts w:eastAsia="Times New Roman" w:cs="Calibri"/>
                <w:color w:val="000000"/>
                <w:sz w:val="24"/>
                <w:szCs w:val="24"/>
                <w:lang w:eastAsia="en-GB"/>
              </w:rPr>
              <w:t>16.2%</w:t>
            </w:r>
          </w:p>
        </w:tc>
      </w:tr>
      <w:tr w:rsidR="002767A4" w:rsidRPr="00580BD2" w14:paraId="77204748" w14:textId="77777777" w:rsidTr="006F33F4">
        <w:trPr>
          <w:trHeight w:hRule="exact" w:val="397"/>
        </w:trPr>
        <w:tc>
          <w:tcPr>
            <w:tcW w:w="1680" w:type="dxa"/>
            <w:vMerge/>
            <w:tcBorders>
              <w:top w:val="nil"/>
              <w:left w:val="single" w:sz="8" w:space="0" w:color="auto"/>
              <w:bottom w:val="single" w:sz="4" w:space="0" w:color="auto"/>
              <w:right w:val="single" w:sz="4" w:space="0" w:color="auto"/>
            </w:tcBorders>
            <w:vAlign w:val="center"/>
            <w:hideMark/>
          </w:tcPr>
          <w:p w14:paraId="056FFC5B" w14:textId="77777777" w:rsidR="002767A4" w:rsidRPr="00580BD2" w:rsidRDefault="002767A4" w:rsidP="00866CAC">
            <w:pPr>
              <w:spacing w:after="0" w:line="240" w:lineRule="auto"/>
              <w:rPr>
                <w:rFonts w:eastAsia="Times New Roman" w:cs="Calibri"/>
                <w:b/>
                <w:bCs/>
                <w:color w:val="000000"/>
                <w:sz w:val="24"/>
                <w:szCs w:val="24"/>
                <w:lang w:eastAsia="en-GB"/>
              </w:rPr>
            </w:pPr>
          </w:p>
        </w:tc>
        <w:tc>
          <w:tcPr>
            <w:tcW w:w="3640" w:type="dxa"/>
            <w:tcBorders>
              <w:top w:val="nil"/>
              <w:left w:val="nil"/>
              <w:bottom w:val="single" w:sz="4" w:space="0" w:color="auto"/>
              <w:right w:val="single" w:sz="4" w:space="0" w:color="auto"/>
            </w:tcBorders>
            <w:shd w:val="clear" w:color="auto" w:fill="auto"/>
            <w:vAlign w:val="center"/>
            <w:hideMark/>
          </w:tcPr>
          <w:p w14:paraId="3430E562"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Wednesbury &amp; West Bromwich</w:t>
            </w:r>
          </w:p>
        </w:tc>
        <w:tc>
          <w:tcPr>
            <w:tcW w:w="2400" w:type="dxa"/>
            <w:tcBorders>
              <w:top w:val="nil"/>
              <w:left w:val="nil"/>
              <w:bottom w:val="single" w:sz="4" w:space="0" w:color="auto"/>
              <w:right w:val="single" w:sz="8" w:space="0" w:color="auto"/>
            </w:tcBorders>
            <w:shd w:val="clear" w:color="auto" w:fill="auto"/>
            <w:vAlign w:val="center"/>
            <w:hideMark/>
          </w:tcPr>
          <w:p w14:paraId="52DCAE87" w14:textId="77777777" w:rsidR="002767A4" w:rsidRPr="00580BD2" w:rsidRDefault="002767A4" w:rsidP="00866CAC">
            <w:pPr>
              <w:spacing w:after="0" w:line="240" w:lineRule="auto"/>
              <w:jc w:val="center"/>
              <w:rPr>
                <w:rFonts w:eastAsia="Times New Roman" w:cs="Calibri"/>
                <w:color w:val="000000"/>
                <w:sz w:val="24"/>
                <w:szCs w:val="24"/>
                <w:lang w:eastAsia="en-GB"/>
              </w:rPr>
            </w:pPr>
            <w:r w:rsidRPr="00580BD2">
              <w:rPr>
                <w:rFonts w:eastAsia="Times New Roman" w:cs="Calibri"/>
                <w:color w:val="000000"/>
                <w:sz w:val="24"/>
                <w:szCs w:val="24"/>
                <w:lang w:eastAsia="en-GB"/>
              </w:rPr>
              <w:t>15.0%</w:t>
            </w:r>
          </w:p>
        </w:tc>
      </w:tr>
      <w:tr w:rsidR="002767A4" w:rsidRPr="00580BD2" w14:paraId="50E257B7" w14:textId="77777777" w:rsidTr="006F33F4">
        <w:trPr>
          <w:trHeight w:hRule="exact" w:val="397"/>
        </w:trPr>
        <w:tc>
          <w:tcPr>
            <w:tcW w:w="7720" w:type="dxa"/>
            <w:gridSpan w:val="3"/>
            <w:tcBorders>
              <w:top w:val="single" w:sz="4" w:space="0" w:color="auto"/>
              <w:left w:val="single" w:sz="8" w:space="0" w:color="auto"/>
              <w:bottom w:val="single" w:sz="4" w:space="0" w:color="auto"/>
              <w:right w:val="single" w:sz="8" w:space="0" w:color="000000"/>
            </w:tcBorders>
            <w:shd w:val="clear" w:color="000000" w:fill="F2F2F2"/>
            <w:noWrap/>
            <w:vAlign w:val="bottom"/>
            <w:hideMark/>
          </w:tcPr>
          <w:p w14:paraId="2C5B97FC"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 </w:t>
            </w:r>
          </w:p>
        </w:tc>
      </w:tr>
      <w:tr w:rsidR="002767A4" w:rsidRPr="00580BD2" w14:paraId="03999FA5" w14:textId="77777777" w:rsidTr="006F33F4">
        <w:trPr>
          <w:trHeight w:hRule="exact" w:val="397"/>
        </w:trPr>
        <w:tc>
          <w:tcPr>
            <w:tcW w:w="1680" w:type="dxa"/>
            <w:vMerge w:val="restart"/>
            <w:tcBorders>
              <w:top w:val="nil"/>
              <w:left w:val="single" w:sz="8" w:space="0" w:color="auto"/>
              <w:bottom w:val="single" w:sz="4" w:space="0" w:color="auto"/>
              <w:right w:val="single" w:sz="4" w:space="0" w:color="auto"/>
            </w:tcBorders>
            <w:shd w:val="clear" w:color="000000" w:fill="F2F2F2"/>
            <w:vAlign w:val="bottom"/>
            <w:hideMark/>
          </w:tcPr>
          <w:p w14:paraId="164BF807" w14:textId="77777777" w:rsidR="002767A4" w:rsidRPr="00580BD2" w:rsidRDefault="002767A4" w:rsidP="00866CAC">
            <w:pPr>
              <w:spacing w:after="0" w:line="240" w:lineRule="auto"/>
              <w:jc w:val="center"/>
              <w:rPr>
                <w:rFonts w:eastAsia="Times New Roman" w:cs="Calibri"/>
                <w:b/>
                <w:bCs/>
                <w:color w:val="000000"/>
                <w:sz w:val="24"/>
                <w:szCs w:val="24"/>
                <w:lang w:eastAsia="en-GB"/>
              </w:rPr>
            </w:pPr>
            <w:r w:rsidRPr="00580BD2">
              <w:rPr>
                <w:rFonts w:eastAsia="Times New Roman" w:cs="Calibri"/>
                <w:b/>
                <w:bCs/>
                <w:color w:val="000000"/>
                <w:sz w:val="24"/>
                <w:szCs w:val="24"/>
                <w:lang w:eastAsia="en-GB"/>
              </w:rPr>
              <w:t>Birmingham Team</w:t>
            </w:r>
          </w:p>
        </w:tc>
        <w:tc>
          <w:tcPr>
            <w:tcW w:w="3640" w:type="dxa"/>
            <w:tcBorders>
              <w:top w:val="nil"/>
              <w:left w:val="nil"/>
              <w:bottom w:val="single" w:sz="4" w:space="0" w:color="auto"/>
              <w:right w:val="single" w:sz="4" w:space="0" w:color="auto"/>
            </w:tcBorders>
            <w:shd w:val="clear" w:color="auto" w:fill="auto"/>
            <w:vAlign w:val="center"/>
            <w:hideMark/>
          </w:tcPr>
          <w:p w14:paraId="7B76D146"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Aston</w:t>
            </w:r>
          </w:p>
        </w:tc>
        <w:tc>
          <w:tcPr>
            <w:tcW w:w="2400" w:type="dxa"/>
            <w:tcBorders>
              <w:top w:val="nil"/>
              <w:left w:val="nil"/>
              <w:bottom w:val="single" w:sz="4" w:space="0" w:color="auto"/>
              <w:right w:val="single" w:sz="8" w:space="0" w:color="auto"/>
            </w:tcBorders>
            <w:shd w:val="clear" w:color="auto" w:fill="auto"/>
            <w:vAlign w:val="center"/>
            <w:hideMark/>
          </w:tcPr>
          <w:p w14:paraId="18475521" w14:textId="77777777" w:rsidR="002767A4" w:rsidRPr="00580BD2" w:rsidRDefault="002767A4" w:rsidP="00866CAC">
            <w:pPr>
              <w:spacing w:after="0" w:line="240" w:lineRule="auto"/>
              <w:jc w:val="center"/>
              <w:rPr>
                <w:rFonts w:eastAsia="Times New Roman" w:cs="Calibri"/>
                <w:color w:val="000000"/>
                <w:sz w:val="24"/>
                <w:szCs w:val="24"/>
                <w:lang w:eastAsia="en-GB"/>
              </w:rPr>
            </w:pPr>
            <w:r w:rsidRPr="00580BD2">
              <w:rPr>
                <w:rFonts w:eastAsia="Times New Roman" w:cs="Calibri"/>
                <w:color w:val="000000"/>
                <w:sz w:val="24"/>
                <w:szCs w:val="24"/>
                <w:lang w:eastAsia="en-GB"/>
              </w:rPr>
              <w:t>25.5%</w:t>
            </w:r>
          </w:p>
        </w:tc>
      </w:tr>
      <w:tr w:rsidR="002767A4" w:rsidRPr="00580BD2" w14:paraId="3B3FA2D5" w14:textId="77777777" w:rsidTr="006F33F4">
        <w:trPr>
          <w:trHeight w:hRule="exact" w:val="397"/>
        </w:trPr>
        <w:tc>
          <w:tcPr>
            <w:tcW w:w="1680" w:type="dxa"/>
            <w:vMerge/>
            <w:tcBorders>
              <w:top w:val="nil"/>
              <w:left w:val="single" w:sz="8" w:space="0" w:color="auto"/>
              <w:bottom w:val="single" w:sz="4" w:space="0" w:color="auto"/>
              <w:right w:val="single" w:sz="4" w:space="0" w:color="auto"/>
            </w:tcBorders>
            <w:vAlign w:val="center"/>
            <w:hideMark/>
          </w:tcPr>
          <w:p w14:paraId="378E2973" w14:textId="77777777" w:rsidR="002767A4" w:rsidRPr="00580BD2" w:rsidRDefault="002767A4" w:rsidP="00866CAC">
            <w:pPr>
              <w:spacing w:after="0" w:line="240" w:lineRule="auto"/>
              <w:rPr>
                <w:rFonts w:eastAsia="Times New Roman" w:cs="Calibri"/>
                <w:b/>
                <w:bCs/>
                <w:color w:val="000000"/>
                <w:sz w:val="24"/>
                <w:szCs w:val="24"/>
                <w:lang w:eastAsia="en-GB"/>
              </w:rPr>
            </w:pPr>
          </w:p>
        </w:tc>
        <w:tc>
          <w:tcPr>
            <w:tcW w:w="3640" w:type="dxa"/>
            <w:tcBorders>
              <w:top w:val="nil"/>
              <w:left w:val="nil"/>
              <w:bottom w:val="single" w:sz="4" w:space="0" w:color="auto"/>
              <w:right w:val="single" w:sz="4" w:space="0" w:color="auto"/>
            </w:tcBorders>
            <w:shd w:val="clear" w:color="auto" w:fill="auto"/>
            <w:vAlign w:val="center"/>
            <w:hideMark/>
          </w:tcPr>
          <w:p w14:paraId="63D8F692"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Great Barr &amp; Kingstanding</w:t>
            </w:r>
          </w:p>
        </w:tc>
        <w:tc>
          <w:tcPr>
            <w:tcW w:w="2400" w:type="dxa"/>
            <w:tcBorders>
              <w:top w:val="nil"/>
              <w:left w:val="nil"/>
              <w:bottom w:val="single" w:sz="4" w:space="0" w:color="auto"/>
              <w:right w:val="single" w:sz="8" w:space="0" w:color="auto"/>
            </w:tcBorders>
            <w:shd w:val="clear" w:color="auto" w:fill="auto"/>
            <w:vAlign w:val="center"/>
            <w:hideMark/>
          </w:tcPr>
          <w:p w14:paraId="1578180F" w14:textId="77777777" w:rsidR="002767A4" w:rsidRPr="00580BD2" w:rsidRDefault="002767A4" w:rsidP="00866CAC">
            <w:pPr>
              <w:spacing w:after="0" w:line="240" w:lineRule="auto"/>
              <w:jc w:val="center"/>
              <w:rPr>
                <w:rFonts w:eastAsia="Times New Roman" w:cs="Calibri"/>
                <w:color w:val="000000"/>
                <w:sz w:val="24"/>
                <w:szCs w:val="24"/>
                <w:lang w:eastAsia="en-GB"/>
              </w:rPr>
            </w:pPr>
            <w:r w:rsidRPr="00580BD2">
              <w:rPr>
                <w:rFonts w:eastAsia="Times New Roman" w:cs="Calibri"/>
                <w:color w:val="000000"/>
                <w:sz w:val="24"/>
                <w:szCs w:val="24"/>
                <w:lang w:eastAsia="en-GB"/>
              </w:rPr>
              <w:t>18.8%</w:t>
            </w:r>
          </w:p>
        </w:tc>
      </w:tr>
      <w:tr w:rsidR="002767A4" w:rsidRPr="00580BD2" w14:paraId="5D595955" w14:textId="77777777" w:rsidTr="006F33F4">
        <w:trPr>
          <w:trHeight w:hRule="exact" w:val="397"/>
        </w:trPr>
        <w:tc>
          <w:tcPr>
            <w:tcW w:w="1680" w:type="dxa"/>
            <w:vMerge/>
            <w:tcBorders>
              <w:top w:val="nil"/>
              <w:left w:val="single" w:sz="8" w:space="0" w:color="auto"/>
              <w:bottom w:val="single" w:sz="4" w:space="0" w:color="auto"/>
              <w:right w:val="single" w:sz="4" w:space="0" w:color="auto"/>
            </w:tcBorders>
            <w:vAlign w:val="center"/>
            <w:hideMark/>
          </w:tcPr>
          <w:p w14:paraId="1356A5BD" w14:textId="77777777" w:rsidR="002767A4" w:rsidRPr="00580BD2" w:rsidRDefault="002767A4" w:rsidP="00866CAC">
            <w:pPr>
              <w:spacing w:after="0" w:line="240" w:lineRule="auto"/>
              <w:rPr>
                <w:rFonts w:eastAsia="Times New Roman" w:cs="Calibri"/>
                <w:b/>
                <w:bCs/>
                <w:color w:val="000000"/>
                <w:sz w:val="24"/>
                <w:szCs w:val="24"/>
                <w:lang w:eastAsia="en-GB"/>
              </w:rPr>
            </w:pPr>
          </w:p>
        </w:tc>
        <w:tc>
          <w:tcPr>
            <w:tcW w:w="3640" w:type="dxa"/>
            <w:tcBorders>
              <w:top w:val="nil"/>
              <w:left w:val="nil"/>
              <w:bottom w:val="single" w:sz="4" w:space="0" w:color="auto"/>
              <w:right w:val="single" w:sz="4" w:space="0" w:color="auto"/>
            </w:tcBorders>
            <w:shd w:val="clear" w:color="auto" w:fill="auto"/>
            <w:vAlign w:val="center"/>
            <w:hideMark/>
          </w:tcPr>
          <w:p w14:paraId="7E210DC3"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Handsworth</w:t>
            </w:r>
          </w:p>
        </w:tc>
        <w:tc>
          <w:tcPr>
            <w:tcW w:w="2400" w:type="dxa"/>
            <w:tcBorders>
              <w:top w:val="nil"/>
              <w:left w:val="nil"/>
              <w:bottom w:val="single" w:sz="4" w:space="0" w:color="auto"/>
              <w:right w:val="single" w:sz="8" w:space="0" w:color="auto"/>
            </w:tcBorders>
            <w:shd w:val="clear" w:color="auto" w:fill="auto"/>
            <w:vAlign w:val="center"/>
            <w:hideMark/>
          </w:tcPr>
          <w:p w14:paraId="5519E454" w14:textId="77777777" w:rsidR="002767A4" w:rsidRPr="00580BD2" w:rsidRDefault="002767A4" w:rsidP="00866CAC">
            <w:pPr>
              <w:spacing w:after="0" w:line="240" w:lineRule="auto"/>
              <w:jc w:val="center"/>
              <w:rPr>
                <w:rFonts w:eastAsia="Times New Roman" w:cs="Calibri"/>
                <w:color w:val="000000"/>
                <w:sz w:val="24"/>
                <w:szCs w:val="24"/>
                <w:lang w:eastAsia="en-GB"/>
              </w:rPr>
            </w:pPr>
            <w:r w:rsidRPr="00580BD2">
              <w:rPr>
                <w:rFonts w:eastAsia="Times New Roman" w:cs="Calibri"/>
                <w:color w:val="000000"/>
                <w:sz w:val="24"/>
                <w:szCs w:val="24"/>
                <w:lang w:eastAsia="en-GB"/>
              </w:rPr>
              <w:t>28.5%</w:t>
            </w:r>
          </w:p>
        </w:tc>
      </w:tr>
      <w:tr w:rsidR="002767A4" w:rsidRPr="00580BD2" w14:paraId="6C4B38B5" w14:textId="77777777" w:rsidTr="006F33F4">
        <w:trPr>
          <w:trHeight w:hRule="exact" w:val="397"/>
        </w:trPr>
        <w:tc>
          <w:tcPr>
            <w:tcW w:w="7720" w:type="dxa"/>
            <w:gridSpan w:val="3"/>
            <w:tcBorders>
              <w:top w:val="single" w:sz="4" w:space="0" w:color="auto"/>
              <w:left w:val="single" w:sz="8" w:space="0" w:color="auto"/>
              <w:bottom w:val="single" w:sz="4" w:space="0" w:color="auto"/>
              <w:right w:val="single" w:sz="8" w:space="0" w:color="000000"/>
            </w:tcBorders>
            <w:shd w:val="clear" w:color="000000" w:fill="F2F2F2"/>
            <w:noWrap/>
            <w:vAlign w:val="bottom"/>
            <w:hideMark/>
          </w:tcPr>
          <w:p w14:paraId="47C50485"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 </w:t>
            </w:r>
          </w:p>
        </w:tc>
      </w:tr>
      <w:tr w:rsidR="002767A4" w:rsidRPr="00580BD2" w14:paraId="770DD061" w14:textId="77777777" w:rsidTr="006F33F4">
        <w:trPr>
          <w:trHeight w:hRule="exact" w:val="522"/>
        </w:trPr>
        <w:tc>
          <w:tcPr>
            <w:tcW w:w="1680" w:type="dxa"/>
            <w:vMerge w:val="restart"/>
            <w:tcBorders>
              <w:top w:val="nil"/>
              <w:left w:val="single" w:sz="8" w:space="0" w:color="auto"/>
              <w:bottom w:val="single" w:sz="8" w:space="0" w:color="000000"/>
              <w:right w:val="single" w:sz="4" w:space="0" w:color="auto"/>
            </w:tcBorders>
            <w:shd w:val="clear" w:color="000000" w:fill="F2F2F2"/>
            <w:vAlign w:val="bottom"/>
            <w:hideMark/>
          </w:tcPr>
          <w:p w14:paraId="1CCB6228" w14:textId="77777777" w:rsidR="002767A4" w:rsidRPr="00580BD2" w:rsidRDefault="002767A4" w:rsidP="00866CAC">
            <w:pPr>
              <w:spacing w:after="0" w:line="240" w:lineRule="auto"/>
              <w:rPr>
                <w:rFonts w:eastAsia="Times New Roman" w:cs="Calibri"/>
                <w:b/>
                <w:bCs/>
                <w:color w:val="000000"/>
                <w:sz w:val="24"/>
                <w:szCs w:val="24"/>
                <w:lang w:eastAsia="en-GB"/>
              </w:rPr>
            </w:pPr>
            <w:r w:rsidRPr="00580BD2">
              <w:rPr>
                <w:rFonts w:eastAsia="Times New Roman" w:cs="Calibri"/>
                <w:b/>
                <w:bCs/>
                <w:color w:val="000000"/>
                <w:sz w:val="24"/>
                <w:szCs w:val="24"/>
                <w:lang w:eastAsia="en-GB"/>
              </w:rPr>
              <w:t>Young Parents and Out of Area</w:t>
            </w:r>
          </w:p>
        </w:tc>
        <w:tc>
          <w:tcPr>
            <w:tcW w:w="3640" w:type="dxa"/>
            <w:tcBorders>
              <w:top w:val="nil"/>
              <w:left w:val="nil"/>
              <w:bottom w:val="single" w:sz="4" w:space="0" w:color="auto"/>
              <w:right w:val="single" w:sz="4" w:space="0" w:color="auto"/>
            </w:tcBorders>
            <w:shd w:val="clear" w:color="auto" w:fill="auto"/>
            <w:vAlign w:val="center"/>
            <w:hideMark/>
          </w:tcPr>
          <w:p w14:paraId="4181494F"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Young Parents</w:t>
            </w:r>
          </w:p>
        </w:tc>
        <w:tc>
          <w:tcPr>
            <w:tcW w:w="2400" w:type="dxa"/>
            <w:tcBorders>
              <w:top w:val="nil"/>
              <w:left w:val="nil"/>
              <w:bottom w:val="single" w:sz="4" w:space="0" w:color="auto"/>
              <w:right w:val="single" w:sz="8" w:space="0" w:color="auto"/>
            </w:tcBorders>
            <w:shd w:val="clear" w:color="auto" w:fill="auto"/>
            <w:vAlign w:val="center"/>
            <w:hideMark/>
          </w:tcPr>
          <w:p w14:paraId="17E63F0F" w14:textId="77777777" w:rsidR="002767A4" w:rsidRPr="00580BD2" w:rsidRDefault="002767A4" w:rsidP="00866CAC">
            <w:pPr>
              <w:spacing w:after="0" w:line="240" w:lineRule="auto"/>
              <w:jc w:val="center"/>
              <w:rPr>
                <w:rFonts w:eastAsia="Times New Roman" w:cs="Calibri"/>
                <w:color w:val="000000"/>
                <w:sz w:val="24"/>
                <w:szCs w:val="24"/>
                <w:lang w:eastAsia="en-GB"/>
              </w:rPr>
            </w:pPr>
            <w:r w:rsidRPr="00580BD2">
              <w:rPr>
                <w:rFonts w:eastAsia="Times New Roman" w:cs="Calibri"/>
                <w:color w:val="000000"/>
                <w:sz w:val="24"/>
                <w:szCs w:val="24"/>
                <w:lang w:eastAsia="en-GB"/>
              </w:rPr>
              <w:t>39.8%</w:t>
            </w:r>
          </w:p>
        </w:tc>
      </w:tr>
      <w:tr w:rsidR="002767A4" w:rsidRPr="00580BD2" w14:paraId="65540EE1" w14:textId="77777777" w:rsidTr="006F33F4">
        <w:trPr>
          <w:trHeight w:hRule="exact" w:val="567"/>
        </w:trPr>
        <w:tc>
          <w:tcPr>
            <w:tcW w:w="1680" w:type="dxa"/>
            <w:vMerge/>
            <w:tcBorders>
              <w:top w:val="nil"/>
              <w:left w:val="single" w:sz="8" w:space="0" w:color="auto"/>
              <w:bottom w:val="single" w:sz="8" w:space="0" w:color="000000"/>
              <w:right w:val="single" w:sz="4" w:space="0" w:color="auto"/>
            </w:tcBorders>
            <w:vAlign w:val="center"/>
            <w:hideMark/>
          </w:tcPr>
          <w:p w14:paraId="68000056" w14:textId="77777777" w:rsidR="002767A4" w:rsidRPr="00580BD2" w:rsidRDefault="002767A4" w:rsidP="00866CAC">
            <w:pPr>
              <w:spacing w:after="0" w:line="240" w:lineRule="auto"/>
              <w:rPr>
                <w:rFonts w:eastAsia="Times New Roman" w:cs="Calibri"/>
                <w:b/>
                <w:bCs/>
                <w:color w:val="000000"/>
                <w:sz w:val="24"/>
                <w:szCs w:val="24"/>
                <w:lang w:eastAsia="en-GB"/>
              </w:rPr>
            </w:pPr>
          </w:p>
        </w:tc>
        <w:tc>
          <w:tcPr>
            <w:tcW w:w="3640" w:type="dxa"/>
            <w:tcBorders>
              <w:top w:val="nil"/>
              <w:left w:val="nil"/>
              <w:bottom w:val="single" w:sz="8" w:space="0" w:color="auto"/>
              <w:right w:val="single" w:sz="4" w:space="0" w:color="auto"/>
            </w:tcBorders>
            <w:shd w:val="clear" w:color="auto" w:fill="auto"/>
            <w:vAlign w:val="center"/>
            <w:hideMark/>
          </w:tcPr>
          <w:p w14:paraId="6319E10C" w14:textId="77777777" w:rsidR="002767A4" w:rsidRPr="00580BD2" w:rsidRDefault="002767A4" w:rsidP="00866CAC">
            <w:pPr>
              <w:spacing w:after="0" w:line="240" w:lineRule="auto"/>
              <w:rPr>
                <w:rFonts w:eastAsia="Times New Roman" w:cs="Calibri"/>
                <w:color w:val="000000"/>
                <w:sz w:val="24"/>
                <w:szCs w:val="24"/>
                <w:lang w:eastAsia="en-GB"/>
              </w:rPr>
            </w:pPr>
            <w:r w:rsidRPr="00580BD2">
              <w:rPr>
                <w:rFonts w:eastAsia="Times New Roman" w:cs="Calibri"/>
                <w:color w:val="000000"/>
                <w:sz w:val="24"/>
                <w:szCs w:val="24"/>
                <w:lang w:eastAsia="en-GB"/>
              </w:rPr>
              <w:t>Out of Area</w:t>
            </w:r>
          </w:p>
        </w:tc>
        <w:tc>
          <w:tcPr>
            <w:tcW w:w="2400" w:type="dxa"/>
            <w:tcBorders>
              <w:top w:val="nil"/>
              <w:left w:val="nil"/>
              <w:bottom w:val="single" w:sz="8" w:space="0" w:color="auto"/>
              <w:right w:val="single" w:sz="8" w:space="0" w:color="auto"/>
            </w:tcBorders>
            <w:shd w:val="clear" w:color="auto" w:fill="auto"/>
            <w:vAlign w:val="center"/>
            <w:hideMark/>
          </w:tcPr>
          <w:p w14:paraId="72DB6239" w14:textId="77777777" w:rsidR="002767A4" w:rsidRPr="00580BD2" w:rsidRDefault="002767A4" w:rsidP="00866CAC">
            <w:pPr>
              <w:spacing w:after="0" w:line="240" w:lineRule="auto"/>
              <w:jc w:val="center"/>
              <w:rPr>
                <w:rFonts w:eastAsia="Times New Roman" w:cs="Calibri"/>
                <w:color w:val="000000"/>
                <w:sz w:val="24"/>
                <w:szCs w:val="24"/>
                <w:lang w:eastAsia="en-GB"/>
              </w:rPr>
            </w:pPr>
            <w:r w:rsidRPr="00580BD2">
              <w:rPr>
                <w:rFonts w:eastAsia="Times New Roman" w:cs="Calibri"/>
                <w:color w:val="000000"/>
                <w:sz w:val="24"/>
                <w:szCs w:val="24"/>
                <w:lang w:eastAsia="en-GB"/>
              </w:rPr>
              <w:t>54.4%</w:t>
            </w:r>
          </w:p>
        </w:tc>
      </w:tr>
    </w:tbl>
    <w:p w14:paraId="64CBB669" w14:textId="4387A71B" w:rsidR="002767A4" w:rsidRPr="00580BD2" w:rsidRDefault="002767A4" w:rsidP="002767A4">
      <w:pPr>
        <w:spacing w:after="0" w:line="240" w:lineRule="auto"/>
        <w:rPr>
          <w:rFonts w:eastAsia="Times New Roman" w:cstheme="majorHAnsi"/>
          <w:color w:val="333333"/>
          <w:sz w:val="24"/>
          <w:szCs w:val="24"/>
          <w:lang w:eastAsia="en-GB"/>
        </w:rPr>
      </w:pPr>
      <w:r w:rsidRPr="00580BD2">
        <w:rPr>
          <w:rFonts w:eastAsia="Times New Roman" w:cstheme="majorHAnsi"/>
          <w:color w:val="333333"/>
          <w:sz w:val="24"/>
          <w:szCs w:val="24"/>
          <w:lang w:eastAsia="en-GB"/>
        </w:rPr>
        <w:tab/>
      </w:r>
      <w:r w:rsidR="00765CD8">
        <w:rPr>
          <w:rFonts w:eastAsia="Times New Roman" w:cstheme="majorHAnsi"/>
          <w:color w:val="333333"/>
          <w:sz w:val="24"/>
          <w:szCs w:val="24"/>
          <w:lang w:eastAsia="en-GB"/>
        </w:rPr>
        <w:t>S</w:t>
      </w:r>
      <w:r w:rsidRPr="00580BD2">
        <w:rPr>
          <w:rFonts w:eastAsia="Times New Roman" w:cstheme="majorHAnsi"/>
          <w:color w:val="333333"/>
          <w:sz w:val="24"/>
          <w:szCs w:val="24"/>
          <w:lang w:eastAsia="en-GB"/>
        </w:rPr>
        <w:t>ource: Badgernet – Electron Patient Records SWBHT</w:t>
      </w:r>
    </w:p>
    <w:p w14:paraId="54EAFB1A" w14:textId="5198EA02" w:rsidR="00B3562C" w:rsidRPr="00580BD2" w:rsidRDefault="00B3562C" w:rsidP="00B3562C">
      <w:pPr>
        <w:rPr>
          <w:rFonts w:cstheme="majorHAnsi"/>
          <w:b/>
          <w:sz w:val="24"/>
          <w:szCs w:val="24"/>
          <w:u w:val="single"/>
        </w:rPr>
      </w:pPr>
    </w:p>
    <w:p w14:paraId="55AFF2EE" w14:textId="5D3F778F" w:rsidR="00B3562C" w:rsidRPr="001E11C4" w:rsidRDefault="006F33F4" w:rsidP="005B1F6D">
      <w:pPr>
        <w:pStyle w:val="Heading2"/>
      </w:pPr>
      <w:r>
        <w:br/>
      </w:r>
      <w:r w:rsidR="00B3562C" w:rsidRPr="001E11C4">
        <w:t>Smoking status at time of delivery</w:t>
      </w:r>
    </w:p>
    <w:p w14:paraId="3E69602C" w14:textId="3EB87BA1" w:rsidR="00B3562C" w:rsidRDefault="00B3562C" w:rsidP="00B3562C">
      <w:pPr>
        <w:rPr>
          <w:rFonts w:cstheme="majorHAnsi"/>
          <w:color w:val="333333"/>
          <w:sz w:val="24"/>
          <w:szCs w:val="24"/>
          <w:shd w:val="clear" w:color="auto" w:fill="FFFFFF"/>
        </w:rPr>
      </w:pPr>
      <w:r w:rsidRPr="00580BD2">
        <w:rPr>
          <w:rFonts w:cstheme="majorHAnsi"/>
          <w:color w:val="333333"/>
          <w:sz w:val="24"/>
          <w:szCs w:val="24"/>
          <w:shd w:val="clear" w:color="auto" w:fill="FFFFFF"/>
        </w:rPr>
        <w:t>Smoking during pregnancy can cause serious pregnancy-related health problems. These include complications during labour and an increased risk of miscarriage, premature birth, stillbirth, low birth-weight and sudden unexpected death in infancy.</w:t>
      </w:r>
    </w:p>
    <w:p w14:paraId="13D23E96" w14:textId="5DC554B6" w:rsidR="006263BA" w:rsidRPr="00580BD2" w:rsidRDefault="006263BA" w:rsidP="006263BA">
      <w:pPr>
        <w:rPr>
          <w:rFonts w:cstheme="majorHAnsi"/>
          <w:color w:val="333333"/>
          <w:sz w:val="24"/>
          <w:szCs w:val="24"/>
          <w:shd w:val="clear" w:color="auto" w:fill="FFFFFF"/>
        </w:rPr>
      </w:pPr>
      <w:r>
        <w:rPr>
          <w:rFonts w:cstheme="majorHAnsi"/>
          <w:color w:val="333333"/>
          <w:sz w:val="24"/>
          <w:szCs w:val="24"/>
          <w:shd w:val="clear" w:color="auto" w:fill="FFFFFF"/>
        </w:rPr>
        <w:t xml:space="preserve">This indicator is defined as the </w:t>
      </w:r>
      <w:r w:rsidRPr="00580BD2">
        <w:rPr>
          <w:rFonts w:cstheme="majorHAnsi"/>
          <w:color w:val="333333"/>
          <w:sz w:val="24"/>
          <w:szCs w:val="24"/>
          <w:shd w:val="clear" w:color="auto" w:fill="FFFFFF"/>
        </w:rPr>
        <w:t>number of mothers known to be smokers at the time of delivery as a percentage of all maternities.</w:t>
      </w:r>
    </w:p>
    <w:p w14:paraId="429026F3" w14:textId="65897D53" w:rsidR="00B3562C" w:rsidRPr="00580BD2" w:rsidRDefault="006263BA" w:rsidP="00B3562C">
      <w:pPr>
        <w:pStyle w:val="ListParagraph"/>
        <w:numPr>
          <w:ilvl w:val="0"/>
          <w:numId w:val="5"/>
        </w:numPr>
        <w:rPr>
          <w:rFonts w:cstheme="majorHAnsi"/>
          <w:sz w:val="24"/>
          <w:szCs w:val="24"/>
          <w:u w:val="single"/>
        </w:rPr>
      </w:pPr>
      <w:r>
        <w:rPr>
          <w:rFonts w:cstheme="majorHAnsi"/>
          <w:sz w:val="24"/>
          <w:szCs w:val="24"/>
        </w:rPr>
        <w:t xml:space="preserve">There </w:t>
      </w:r>
      <w:r w:rsidR="00083E28">
        <w:rPr>
          <w:rFonts w:cstheme="majorHAnsi"/>
          <w:sz w:val="24"/>
          <w:szCs w:val="24"/>
        </w:rPr>
        <w:t xml:space="preserve">has been </w:t>
      </w:r>
      <w:r>
        <w:rPr>
          <w:rFonts w:cstheme="majorHAnsi"/>
          <w:sz w:val="24"/>
          <w:szCs w:val="24"/>
        </w:rPr>
        <w:t xml:space="preserve">a </w:t>
      </w:r>
      <w:r w:rsidR="00131E84">
        <w:rPr>
          <w:rFonts w:cstheme="majorHAnsi"/>
          <w:sz w:val="24"/>
          <w:szCs w:val="24"/>
        </w:rPr>
        <w:t xml:space="preserve">generally </w:t>
      </w:r>
      <w:r>
        <w:rPr>
          <w:rFonts w:cstheme="majorHAnsi"/>
          <w:sz w:val="24"/>
          <w:szCs w:val="24"/>
        </w:rPr>
        <w:t>d</w:t>
      </w:r>
      <w:r w:rsidR="00B3562C" w:rsidRPr="00580BD2">
        <w:rPr>
          <w:rFonts w:cstheme="majorHAnsi"/>
          <w:sz w:val="24"/>
          <w:szCs w:val="24"/>
        </w:rPr>
        <w:t xml:space="preserve">ecreasing trend for </w:t>
      </w:r>
      <w:r w:rsidR="00083E28">
        <w:rPr>
          <w:rFonts w:cstheme="majorHAnsi"/>
          <w:sz w:val="24"/>
          <w:szCs w:val="24"/>
        </w:rPr>
        <w:t>a number of years</w:t>
      </w:r>
      <w:r w:rsidR="00131E84">
        <w:rPr>
          <w:rFonts w:cstheme="majorHAnsi"/>
          <w:sz w:val="24"/>
          <w:szCs w:val="24"/>
        </w:rPr>
        <w:t xml:space="preserve"> (with the exception of 2019/20)</w:t>
      </w:r>
      <w:r>
        <w:rPr>
          <w:rFonts w:cstheme="majorHAnsi"/>
          <w:sz w:val="24"/>
          <w:szCs w:val="24"/>
        </w:rPr>
        <w:t>.</w:t>
      </w:r>
    </w:p>
    <w:p w14:paraId="57A0BFAB" w14:textId="206AC09E" w:rsidR="00B3562C" w:rsidRPr="00580BD2" w:rsidRDefault="00B3562C" w:rsidP="00B3562C">
      <w:pPr>
        <w:pStyle w:val="ListParagraph"/>
        <w:numPr>
          <w:ilvl w:val="0"/>
          <w:numId w:val="5"/>
        </w:numPr>
        <w:rPr>
          <w:rFonts w:cstheme="majorHAnsi"/>
          <w:sz w:val="24"/>
          <w:szCs w:val="24"/>
          <w:u w:val="single"/>
        </w:rPr>
      </w:pPr>
      <w:r w:rsidRPr="00580BD2">
        <w:rPr>
          <w:rFonts w:cstheme="majorHAnsi"/>
          <w:sz w:val="24"/>
          <w:szCs w:val="24"/>
        </w:rPr>
        <w:t>20</w:t>
      </w:r>
      <w:r w:rsidR="00083E28">
        <w:rPr>
          <w:rFonts w:cstheme="majorHAnsi"/>
          <w:sz w:val="24"/>
          <w:szCs w:val="24"/>
        </w:rPr>
        <w:t>20</w:t>
      </w:r>
      <w:r w:rsidRPr="00580BD2">
        <w:rPr>
          <w:rFonts w:cstheme="majorHAnsi"/>
          <w:sz w:val="24"/>
          <w:szCs w:val="24"/>
        </w:rPr>
        <w:t>/</w:t>
      </w:r>
      <w:r w:rsidR="00083E28">
        <w:rPr>
          <w:rFonts w:cstheme="majorHAnsi"/>
          <w:sz w:val="24"/>
          <w:szCs w:val="24"/>
        </w:rPr>
        <w:t>2</w:t>
      </w:r>
      <w:r w:rsidRPr="00580BD2">
        <w:rPr>
          <w:rFonts w:cstheme="majorHAnsi"/>
          <w:sz w:val="24"/>
          <w:szCs w:val="24"/>
        </w:rPr>
        <w:t xml:space="preserve">1 Sandwell </w:t>
      </w:r>
      <w:r w:rsidR="00083E28">
        <w:rPr>
          <w:rFonts w:cstheme="majorHAnsi"/>
          <w:sz w:val="24"/>
          <w:szCs w:val="24"/>
        </w:rPr>
        <w:t>9.3</w:t>
      </w:r>
      <w:r w:rsidRPr="00580BD2">
        <w:rPr>
          <w:rFonts w:cstheme="majorHAnsi"/>
          <w:sz w:val="24"/>
          <w:szCs w:val="24"/>
        </w:rPr>
        <w:t xml:space="preserve">%; England </w:t>
      </w:r>
      <w:r w:rsidR="00083E28">
        <w:rPr>
          <w:rFonts w:cstheme="majorHAnsi"/>
          <w:sz w:val="24"/>
          <w:szCs w:val="24"/>
        </w:rPr>
        <w:t>9</w:t>
      </w:r>
      <w:r w:rsidRPr="00580BD2">
        <w:rPr>
          <w:rFonts w:cstheme="majorHAnsi"/>
          <w:sz w:val="24"/>
          <w:szCs w:val="24"/>
        </w:rPr>
        <w:t>.</w:t>
      </w:r>
      <w:r w:rsidR="00D659C9">
        <w:rPr>
          <w:rFonts w:cstheme="majorHAnsi"/>
          <w:sz w:val="24"/>
          <w:szCs w:val="24"/>
        </w:rPr>
        <w:t>6</w:t>
      </w:r>
      <w:r w:rsidRPr="00580BD2">
        <w:rPr>
          <w:rFonts w:cstheme="majorHAnsi"/>
          <w:sz w:val="24"/>
          <w:szCs w:val="24"/>
        </w:rPr>
        <w:t>%; West Midlands 1</w:t>
      </w:r>
      <w:r w:rsidR="00083E28">
        <w:rPr>
          <w:rFonts w:cstheme="majorHAnsi"/>
          <w:sz w:val="24"/>
          <w:szCs w:val="24"/>
        </w:rPr>
        <w:t>0</w:t>
      </w:r>
      <w:r w:rsidRPr="00580BD2">
        <w:rPr>
          <w:rFonts w:cstheme="majorHAnsi"/>
          <w:sz w:val="24"/>
          <w:szCs w:val="24"/>
        </w:rPr>
        <w:t>.</w:t>
      </w:r>
      <w:r w:rsidR="00083E28">
        <w:rPr>
          <w:rFonts w:cstheme="majorHAnsi"/>
          <w:sz w:val="24"/>
          <w:szCs w:val="24"/>
        </w:rPr>
        <w:t>6</w:t>
      </w:r>
      <w:r w:rsidRPr="00580BD2">
        <w:rPr>
          <w:rFonts w:cstheme="majorHAnsi"/>
          <w:sz w:val="24"/>
          <w:szCs w:val="24"/>
        </w:rPr>
        <w:t>%</w:t>
      </w:r>
      <w:r w:rsidR="006263BA">
        <w:rPr>
          <w:rFonts w:cstheme="majorHAnsi"/>
          <w:sz w:val="24"/>
          <w:szCs w:val="24"/>
        </w:rPr>
        <w:t>.</w:t>
      </w:r>
    </w:p>
    <w:p w14:paraId="4CE5F5B0" w14:textId="77777777" w:rsidR="00B3562C" w:rsidRPr="00580BD2" w:rsidRDefault="00B3562C" w:rsidP="00B3562C">
      <w:pPr>
        <w:rPr>
          <w:rFonts w:cstheme="majorHAnsi"/>
          <w:sz w:val="24"/>
          <w:szCs w:val="24"/>
          <w:u w:val="single"/>
        </w:rPr>
      </w:pPr>
    </w:p>
    <w:p w14:paraId="707F70D5" w14:textId="2326D4DA" w:rsidR="001E11C4" w:rsidRPr="00580BD2" w:rsidRDefault="001E11C4" w:rsidP="001E11C4">
      <w:pPr>
        <w:rPr>
          <w:rFonts w:cs="Arial"/>
          <w:b/>
          <w:sz w:val="24"/>
          <w:szCs w:val="24"/>
        </w:rPr>
      </w:pPr>
      <w:r w:rsidRPr="00442313">
        <w:rPr>
          <w:rFonts w:cs="Arial"/>
          <w:b/>
          <w:sz w:val="24"/>
          <w:szCs w:val="24"/>
        </w:rPr>
        <w:t xml:space="preserve">Figure </w:t>
      </w:r>
      <w:r w:rsidR="00DA1C23">
        <w:rPr>
          <w:rFonts w:cs="Arial"/>
          <w:b/>
          <w:sz w:val="24"/>
          <w:szCs w:val="24"/>
        </w:rPr>
        <w:t>1.</w:t>
      </w:r>
      <w:r w:rsidRPr="00442313">
        <w:rPr>
          <w:rFonts w:cs="Arial"/>
          <w:b/>
          <w:sz w:val="24"/>
          <w:szCs w:val="24"/>
        </w:rPr>
        <w:t>1</w:t>
      </w:r>
      <w:r w:rsidR="007453E5">
        <w:rPr>
          <w:rFonts w:cs="Arial"/>
          <w:b/>
          <w:sz w:val="24"/>
          <w:szCs w:val="24"/>
        </w:rPr>
        <w:t>4</w:t>
      </w:r>
      <w:r w:rsidRPr="00442313">
        <w:rPr>
          <w:rFonts w:cs="Arial"/>
          <w:b/>
          <w:sz w:val="24"/>
          <w:szCs w:val="24"/>
        </w:rPr>
        <w:t>: Smoking status at the time of Delivery</w:t>
      </w:r>
      <w:r w:rsidR="00AF1C94">
        <w:rPr>
          <w:rFonts w:cs="Arial"/>
          <w:b/>
          <w:sz w:val="24"/>
          <w:szCs w:val="24"/>
        </w:rPr>
        <w:br/>
      </w:r>
      <w:r w:rsidR="00AF1C94">
        <w:rPr>
          <w:rFonts w:cs="Arial"/>
          <w:b/>
          <w:sz w:val="24"/>
          <w:szCs w:val="24"/>
        </w:rPr>
        <w:br/>
      </w:r>
      <w:r w:rsidR="00131E84">
        <w:rPr>
          <w:noProof/>
        </w:rPr>
        <w:drawing>
          <wp:inline distT="0" distB="0" distL="0" distR="0" wp14:anchorId="14779F22" wp14:editId="4C209C2A">
            <wp:extent cx="5143500" cy="2857500"/>
            <wp:effectExtent l="0" t="0" r="0" b="0"/>
            <wp:docPr id="225" name="Graphic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143500" cy="2857500"/>
                    </a:xfrm>
                    <a:prstGeom prst="rect">
                      <a:avLst/>
                    </a:prstGeom>
                  </pic:spPr>
                </pic:pic>
              </a:graphicData>
            </a:graphic>
          </wp:inline>
        </w:drawing>
      </w:r>
    </w:p>
    <w:p w14:paraId="2D0F305D" w14:textId="64188361" w:rsidR="00B3562C" w:rsidRPr="00580BD2" w:rsidRDefault="001E11C4" w:rsidP="001E11C4">
      <w:pPr>
        <w:rPr>
          <w:rFonts w:cstheme="majorHAnsi"/>
          <w:sz w:val="24"/>
          <w:szCs w:val="24"/>
          <w:u w:val="single"/>
        </w:rPr>
      </w:pPr>
      <w:r w:rsidRPr="00580BD2">
        <w:rPr>
          <w:rFonts w:cs="Arial"/>
          <w:sz w:val="24"/>
          <w:szCs w:val="24"/>
        </w:rPr>
        <w:t>Source: Public Health Outcome Framework</w:t>
      </w:r>
    </w:p>
    <w:p w14:paraId="0FE27B76" w14:textId="77777777" w:rsidR="007E186F" w:rsidRPr="00580BD2" w:rsidRDefault="007E186F" w:rsidP="0081406C">
      <w:pPr>
        <w:rPr>
          <w:rFonts w:cs="Arial"/>
          <w:sz w:val="24"/>
          <w:szCs w:val="24"/>
        </w:rPr>
      </w:pPr>
    </w:p>
    <w:p w14:paraId="4E7157E2" w14:textId="2054DBAE" w:rsidR="0081406C" w:rsidRPr="00580BD2" w:rsidRDefault="0081406C" w:rsidP="0081406C">
      <w:pPr>
        <w:rPr>
          <w:rFonts w:cs="Arial"/>
          <w:sz w:val="24"/>
          <w:szCs w:val="24"/>
        </w:rPr>
      </w:pPr>
      <w:bookmarkStart w:id="7" w:name="_Hlk25144403"/>
      <w:r w:rsidRPr="00580BD2">
        <w:rPr>
          <w:rFonts w:cs="Arial"/>
          <w:sz w:val="24"/>
          <w:szCs w:val="24"/>
        </w:rPr>
        <w:t>In 20</w:t>
      </w:r>
      <w:r w:rsidR="00B40E7A">
        <w:rPr>
          <w:rFonts w:cs="Arial"/>
          <w:sz w:val="24"/>
          <w:szCs w:val="24"/>
        </w:rPr>
        <w:t>20</w:t>
      </w:r>
      <w:r w:rsidR="00B03A95">
        <w:rPr>
          <w:rFonts w:cs="Arial"/>
          <w:sz w:val="24"/>
          <w:szCs w:val="24"/>
        </w:rPr>
        <w:t>/</w:t>
      </w:r>
      <w:r w:rsidR="00B40E7A">
        <w:rPr>
          <w:rFonts w:cs="Arial"/>
          <w:sz w:val="24"/>
          <w:szCs w:val="24"/>
        </w:rPr>
        <w:t>2</w:t>
      </w:r>
      <w:r w:rsidR="00B03A95">
        <w:rPr>
          <w:rFonts w:cs="Arial"/>
          <w:sz w:val="24"/>
          <w:szCs w:val="24"/>
        </w:rPr>
        <w:t>1</w:t>
      </w:r>
      <w:r w:rsidRPr="00580BD2">
        <w:rPr>
          <w:rFonts w:cs="Arial"/>
          <w:sz w:val="24"/>
          <w:szCs w:val="24"/>
        </w:rPr>
        <w:t xml:space="preserve"> approximately </w:t>
      </w:r>
      <w:r w:rsidR="00B40E7A">
        <w:rPr>
          <w:rFonts w:cs="Arial"/>
          <w:sz w:val="24"/>
          <w:szCs w:val="24"/>
        </w:rPr>
        <w:t>9.3</w:t>
      </w:r>
      <w:r w:rsidRPr="00580BD2">
        <w:rPr>
          <w:rFonts w:cs="Arial"/>
          <w:sz w:val="24"/>
          <w:szCs w:val="24"/>
        </w:rPr>
        <w:t xml:space="preserve">% of local pregnant women in Sandwell smoked at time of delivery (figure </w:t>
      </w:r>
      <w:r w:rsidR="00A60067">
        <w:rPr>
          <w:rFonts w:cs="Arial"/>
          <w:sz w:val="24"/>
          <w:szCs w:val="24"/>
        </w:rPr>
        <w:t>1.</w:t>
      </w:r>
      <w:r w:rsidRPr="00580BD2">
        <w:rPr>
          <w:rFonts w:cs="Arial"/>
          <w:sz w:val="24"/>
          <w:szCs w:val="24"/>
        </w:rPr>
        <w:t>1</w:t>
      </w:r>
      <w:r w:rsidR="00B40E7A">
        <w:rPr>
          <w:rFonts w:cs="Arial"/>
          <w:sz w:val="24"/>
          <w:szCs w:val="24"/>
        </w:rPr>
        <w:t>4</w:t>
      </w:r>
      <w:r w:rsidRPr="00580BD2">
        <w:rPr>
          <w:rFonts w:cs="Arial"/>
          <w:sz w:val="24"/>
          <w:szCs w:val="24"/>
        </w:rPr>
        <w:t xml:space="preserve">). This is a significant decrease since 2011 (15.8%). </w:t>
      </w:r>
      <w:bookmarkEnd w:id="7"/>
      <w:r w:rsidRPr="00580BD2">
        <w:rPr>
          <w:rFonts w:cs="Arial"/>
          <w:sz w:val="24"/>
          <w:szCs w:val="24"/>
        </w:rPr>
        <w:t>Comparable data for</w:t>
      </w:r>
      <w:r w:rsidRPr="00580BD2">
        <w:rPr>
          <w:rFonts w:cs="Arial"/>
          <w:bCs/>
          <w:sz w:val="24"/>
          <w:szCs w:val="24"/>
        </w:rPr>
        <w:t xml:space="preserve"> CSSNBT</w:t>
      </w:r>
      <w:r w:rsidRPr="00580BD2">
        <w:rPr>
          <w:rFonts w:cs="Arial"/>
          <w:sz w:val="24"/>
          <w:szCs w:val="24"/>
        </w:rPr>
        <w:t xml:space="preserve"> (</w:t>
      </w:r>
      <w:r w:rsidRPr="00580BD2">
        <w:rPr>
          <w:rFonts w:cs="Arial"/>
          <w:bCs/>
          <w:sz w:val="24"/>
          <w:szCs w:val="24"/>
        </w:rPr>
        <w:t xml:space="preserve">Children's Services Statistical Neighbour Benchmarking Tool) statistical neighbours for Sandwell </w:t>
      </w:r>
      <w:r w:rsidRPr="00580BD2">
        <w:rPr>
          <w:rFonts w:cs="Arial"/>
          <w:sz w:val="24"/>
          <w:szCs w:val="24"/>
        </w:rPr>
        <w:t xml:space="preserve">is much higher, despite having a similar population. </w:t>
      </w:r>
      <w:r w:rsidR="00AF1C94">
        <w:rPr>
          <w:rFonts w:cs="Arial"/>
          <w:sz w:val="24"/>
          <w:szCs w:val="24"/>
        </w:rPr>
        <w:t>P</w:t>
      </w:r>
      <w:r w:rsidRPr="00580BD2">
        <w:rPr>
          <w:rFonts w:cs="Arial"/>
          <w:sz w:val="24"/>
          <w:szCs w:val="24"/>
        </w:rPr>
        <w:t xml:space="preserve">rior to 2013-2014 </w:t>
      </w:r>
      <w:r w:rsidR="00AF1C94">
        <w:rPr>
          <w:rFonts w:cs="Arial"/>
          <w:sz w:val="24"/>
          <w:szCs w:val="24"/>
        </w:rPr>
        <w:t xml:space="preserve">the </w:t>
      </w:r>
      <w:r w:rsidRPr="00580BD2">
        <w:rPr>
          <w:rFonts w:cs="Arial"/>
          <w:sz w:val="24"/>
          <w:szCs w:val="24"/>
        </w:rPr>
        <w:t xml:space="preserve">Sandwell percentage was higher than </w:t>
      </w:r>
      <w:r w:rsidR="00AF1C94">
        <w:rPr>
          <w:rFonts w:cs="Arial"/>
          <w:sz w:val="24"/>
          <w:szCs w:val="24"/>
        </w:rPr>
        <w:t>the</w:t>
      </w:r>
      <w:r w:rsidRPr="00580BD2">
        <w:rPr>
          <w:rFonts w:cs="Arial"/>
          <w:sz w:val="24"/>
          <w:szCs w:val="24"/>
        </w:rPr>
        <w:t xml:space="preserve"> </w:t>
      </w:r>
      <w:r w:rsidR="00AF1C94">
        <w:rPr>
          <w:rFonts w:cs="Arial"/>
          <w:sz w:val="24"/>
          <w:szCs w:val="24"/>
        </w:rPr>
        <w:t xml:space="preserve">average for </w:t>
      </w:r>
      <w:r w:rsidRPr="00580BD2">
        <w:rPr>
          <w:rFonts w:cs="Arial"/>
          <w:sz w:val="24"/>
          <w:szCs w:val="24"/>
        </w:rPr>
        <w:t>England.</w:t>
      </w:r>
    </w:p>
    <w:p w14:paraId="3C8A2F3A" w14:textId="30F8FFD2" w:rsidR="0081406C" w:rsidRPr="00580BD2" w:rsidRDefault="00AF1C94" w:rsidP="0081406C">
      <w:pPr>
        <w:rPr>
          <w:rFonts w:cs="Arial"/>
          <w:sz w:val="24"/>
          <w:szCs w:val="24"/>
        </w:rPr>
      </w:pPr>
      <w:r>
        <w:rPr>
          <w:rFonts w:cs="Arial"/>
          <w:sz w:val="24"/>
          <w:szCs w:val="24"/>
        </w:rPr>
        <w:t>T</w:t>
      </w:r>
      <w:r w:rsidR="0081406C" w:rsidRPr="00580BD2">
        <w:rPr>
          <w:rFonts w:cs="Arial"/>
          <w:sz w:val="24"/>
          <w:szCs w:val="24"/>
        </w:rPr>
        <w:t xml:space="preserve">he percentage of </w:t>
      </w:r>
      <w:r>
        <w:rPr>
          <w:rFonts w:cs="Arial"/>
          <w:sz w:val="24"/>
          <w:szCs w:val="24"/>
        </w:rPr>
        <w:t>w</w:t>
      </w:r>
      <w:r w:rsidR="0081406C" w:rsidRPr="00580BD2">
        <w:rPr>
          <w:rFonts w:cs="Arial"/>
          <w:sz w:val="24"/>
          <w:szCs w:val="24"/>
        </w:rPr>
        <w:t>omen who smoke at the time of delivery</w:t>
      </w:r>
      <w:r>
        <w:rPr>
          <w:rFonts w:cs="Arial"/>
          <w:sz w:val="24"/>
          <w:szCs w:val="24"/>
        </w:rPr>
        <w:t xml:space="preserve"> in Sandwell</w:t>
      </w:r>
      <w:r w:rsidR="0081406C" w:rsidRPr="00580BD2">
        <w:rPr>
          <w:rFonts w:cs="Arial"/>
          <w:sz w:val="24"/>
          <w:szCs w:val="24"/>
        </w:rPr>
        <w:t xml:space="preserve"> </w:t>
      </w:r>
      <w:r>
        <w:rPr>
          <w:rFonts w:cs="Arial"/>
          <w:sz w:val="24"/>
          <w:szCs w:val="24"/>
        </w:rPr>
        <w:t>remains</w:t>
      </w:r>
      <w:r w:rsidR="0081406C" w:rsidRPr="00580BD2">
        <w:rPr>
          <w:rFonts w:cs="Arial"/>
          <w:sz w:val="24"/>
          <w:szCs w:val="24"/>
        </w:rPr>
        <w:t xml:space="preserve"> lower than that of the West Midlands region</w:t>
      </w:r>
      <w:r w:rsidR="00A324DD">
        <w:rPr>
          <w:rFonts w:cs="Arial"/>
          <w:sz w:val="24"/>
          <w:szCs w:val="24"/>
        </w:rPr>
        <w:t>, however the reliability of this data is questionable due to the variability of CO monitoring.</w:t>
      </w:r>
      <w:r w:rsidR="0081406C" w:rsidRPr="00580BD2">
        <w:rPr>
          <w:rFonts w:cs="Arial"/>
          <w:sz w:val="24"/>
          <w:szCs w:val="24"/>
        </w:rPr>
        <w:t xml:space="preserve"> </w:t>
      </w:r>
    </w:p>
    <w:p w14:paraId="1C429E96" w14:textId="03610AC1" w:rsidR="0081406C" w:rsidRPr="00580BD2" w:rsidRDefault="0081406C" w:rsidP="0081406C">
      <w:pPr>
        <w:rPr>
          <w:rFonts w:cs="Arial"/>
          <w:sz w:val="24"/>
          <w:szCs w:val="24"/>
        </w:rPr>
      </w:pPr>
    </w:p>
    <w:p w14:paraId="071ACF1B" w14:textId="56D38D86" w:rsidR="002767A4" w:rsidRPr="00AF1C94" w:rsidRDefault="002767A4" w:rsidP="005B1F6D">
      <w:pPr>
        <w:pStyle w:val="Heading2"/>
      </w:pPr>
      <w:bookmarkStart w:id="8" w:name="_Hlk13838910"/>
      <w:r w:rsidRPr="00AF1C94">
        <w:t>Hospital admissions of babies under 14 days</w:t>
      </w:r>
    </w:p>
    <w:bookmarkEnd w:id="8"/>
    <w:p w14:paraId="0ABAAF88" w14:textId="61F5EAA2" w:rsidR="006263BA" w:rsidRPr="00580BD2" w:rsidRDefault="002767A4" w:rsidP="006263BA">
      <w:pPr>
        <w:spacing w:after="0" w:line="240" w:lineRule="auto"/>
        <w:rPr>
          <w:rFonts w:eastAsia="Times New Roman" w:cstheme="majorHAnsi"/>
          <w:color w:val="333333"/>
          <w:sz w:val="24"/>
          <w:szCs w:val="24"/>
          <w:lang w:eastAsia="en-GB"/>
        </w:rPr>
      </w:pPr>
      <w:r w:rsidRPr="00580BD2">
        <w:rPr>
          <w:rFonts w:eastAsia="Times New Roman" w:cstheme="majorHAnsi"/>
          <w:color w:val="333333"/>
          <w:sz w:val="24"/>
          <w:szCs w:val="24"/>
          <w:lang w:eastAsia="en-GB"/>
        </w:rPr>
        <w:t>High levels of admissions of either mother or babies soon after birth can suggest problems with either the timing or quality of health assessments before the initial transfer or with the postnatal care once the mother is home. Dehydration and jaundice are two common reasons for re-admission of babies and are often linked to problems with feeding (PHE)</w:t>
      </w:r>
      <w:r w:rsidR="00F804A3">
        <w:rPr>
          <w:rFonts w:eastAsia="Times New Roman" w:cstheme="majorHAnsi"/>
          <w:color w:val="333333"/>
          <w:sz w:val="24"/>
          <w:szCs w:val="24"/>
          <w:lang w:eastAsia="en-GB"/>
        </w:rPr>
        <w:t>.</w:t>
      </w:r>
    </w:p>
    <w:p w14:paraId="6D7AF683" w14:textId="7A2E5A12" w:rsidR="002767A4" w:rsidRPr="00580BD2" w:rsidRDefault="002767A4" w:rsidP="002767A4">
      <w:pPr>
        <w:spacing w:after="0" w:line="240" w:lineRule="auto"/>
        <w:rPr>
          <w:rFonts w:eastAsia="Times New Roman" w:cstheme="majorHAnsi"/>
          <w:color w:val="333333"/>
          <w:sz w:val="24"/>
          <w:szCs w:val="24"/>
          <w:lang w:eastAsia="en-GB"/>
        </w:rPr>
      </w:pPr>
    </w:p>
    <w:p w14:paraId="57023BBA" w14:textId="3FDD1669" w:rsidR="002767A4" w:rsidRPr="00F804A3" w:rsidRDefault="00ED2F09" w:rsidP="002767A4">
      <w:pPr>
        <w:pStyle w:val="ListParagraph"/>
        <w:numPr>
          <w:ilvl w:val="0"/>
          <w:numId w:val="5"/>
        </w:numPr>
        <w:rPr>
          <w:rFonts w:cstheme="majorHAnsi"/>
          <w:sz w:val="24"/>
          <w:szCs w:val="24"/>
          <w:u w:val="single"/>
        </w:rPr>
      </w:pPr>
      <w:r>
        <w:rPr>
          <w:rFonts w:cstheme="majorHAnsi"/>
          <w:sz w:val="24"/>
          <w:szCs w:val="24"/>
        </w:rPr>
        <w:t xml:space="preserve">For </w:t>
      </w:r>
      <w:r w:rsidR="002767A4" w:rsidRPr="00580BD2">
        <w:rPr>
          <w:rFonts w:cstheme="majorHAnsi"/>
          <w:sz w:val="24"/>
          <w:szCs w:val="24"/>
        </w:rPr>
        <w:t>2016-17</w:t>
      </w:r>
      <w:r>
        <w:rPr>
          <w:rFonts w:cstheme="majorHAnsi"/>
          <w:sz w:val="24"/>
          <w:szCs w:val="24"/>
        </w:rPr>
        <w:t xml:space="preserve">, </w:t>
      </w:r>
      <w:r w:rsidR="006263BA">
        <w:rPr>
          <w:rFonts w:cstheme="majorHAnsi"/>
          <w:sz w:val="24"/>
          <w:szCs w:val="24"/>
        </w:rPr>
        <w:t>the n</w:t>
      </w:r>
      <w:r w:rsidR="006263BA" w:rsidRPr="00580BD2">
        <w:rPr>
          <w:rFonts w:eastAsia="Times New Roman" w:cstheme="majorHAnsi"/>
          <w:color w:val="333333"/>
          <w:sz w:val="24"/>
          <w:szCs w:val="24"/>
          <w:lang w:eastAsia="en-GB"/>
        </w:rPr>
        <w:t>umber of emergency admissions f</w:t>
      </w:r>
      <w:r w:rsidR="006263BA">
        <w:rPr>
          <w:rFonts w:eastAsia="Times New Roman" w:cstheme="majorHAnsi"/>
          <w:color w:val="333333"/>
          <w:sz w:val="24"/>
          <w:szCs w:val="24"/>
          <w:lang w:eastAsia="en-GB"/>
        </w:rPr>
        <w:t>or</w:t>
      </w:r>
      <w:r w:rsidR="006263BA" w:rsidRPr="00580BD2">
        <w:rPr>
          <w:rFonts w:eastAsia="Times New Roman" w:cstheme="majorHAnsi"/>
          <w:color w:val="333333"/>
          <w:sz w:val="24"/>
          <w:szCs w:val="24"/>
          <w:lang w:eastAsia="en-GB"/>
        </w:rPr>
        <w:t xml:space="preserve"> babies aged 0-13 days (inclusive) expressed as a crude rate per 1,000 deliveries</w:t>
      </w:r>
      <w:r w:rsidR="006263BA">
        <w:rPr>
          <w:rFonts w:eastAsia="Times New Roman" w:cstheme="majorHAnsi"/>
          <w:color w:val="333333"/>
          <w:sz w:val="24"/>
          <w:szCs w:val="24"/>
          <w:lang w:eastAsia="en-GB"/>
        </w:rPr>
        <w:t xml:space="preserve">, in </w:t>
      </w:r>
      <w:r>
        <w:rPr>
          <w:rFonts w:cstheme="majorHAnsi"/>
          <w:sz w:val="24"/>
          <w:szCs w:val="24"/>
        </w:rPr>
        <w:t>Sandwell is significantly higher than England and West Midlands (</w:t>
      </w:r>
      <w:r w:rsidR="002767A4" w:rsidRPr="00580BD2">
        <w:rPr>
          <w:rFonts w:cstheme="majorHAnsi"/>
          <w:sz w:val="24"/>
          <w:szCs w:val="24"/>
        </w:rPr>
        <w:t>Sandwell 87.2 per 1000; England 71.0 per 1000; West Midlands 68.3 per 1000</w:t>
      </w:r>
      <w:r w:rsidR="00F804A3">
        <w:rPr>
          <w:rFonts w:cstheme="majorHAnsi"/>
          <w:sz w:val="24"/>
          <w:szCs w:val="24"/>
        </w:rPr>
        <w:t>).</w:t>
      </w:r>
    </w:p>
    <w:p w14:paraId="19CC610C" w14:textId="77777777" w:rsidR="00F804A3" w:rsidRPr="00F804A3" w:rsidRDefault="00F804A3" w:rsidP="00F804A3">
      <w:pPr>
        <w:pStyle w:val="ListParagraph"/>
        <w:rPr>
          <w:rFonts w:cstheme="majorHAnsi"/>
          <w:sz w:val="24"/>
          <w:szCs w:val="24"/>
          <w:u w:val="single"/>
        </w:rPr>
      </w:pPr>
    </w:p>
    <w:p w14:paraId="400D82A2" w14:textId="5E05D876" w:rsidR="00F804A3" w:rsidRDefault="00F804A3" w:rsidP="00F804A3">
      <w:r w:rsidRPr="00F804A3">
        <w:rPr>
          <w:rFonts w:cstheme="majorHAnsi"/>
          <w:sz w:val="24"/>
          <w:szCs w:val="24"/>
        </w:rPr>
        <w:t>Furthe</w:t>
      </w:r>
      <w:r>
        <w:rPr>
          <w:rFonts w:cstheme="majorHAnsi"/>
          <w:sz w:val="24"/>
          <w:szCs w:val="24"/>
        </w:rPr>
        <w:t xml:space="preserve">r analysis of Hospital Episode Statistics (HES) for Sandwell, shows that for the period 2014/15 to 2018/19, there were 1840 emergency admissions of babies under 14 days. </w:t>
      </w:r>
      <w:r w:rsidRPr="00F804A3">
        <w:t xml:space="preserve"> </w:t>
      </w:r>
    </w:p>
    <w:p w14:paraId="214E1756" w14:textId="5EAAAB5D" w:rsidR="006A6BFE" w:rsidRDefault="006A6BFE" w:rsidP="006A6BFE">
      <w:pPr>
        <w:pStyle w:val="ListParagraph"/>
        <w:numPr>
          <w:ilvl w:val="0"/>
          <w:numId w:val="5"/>
        </w:numPr>
        <w:rPr>
          <w:sz w:val="24"/>
          <w:szCs w:val="24"/>
        </w:rPr>
      </w:pPr>
      <w:r w:rsidRPr="006A6BFE">
        <w:rPr>
          <w:sz w:val="24"/>
          <w:szCs w:val="24"/>
        </w:rPr>
        <w:t xml:space="preserve">21.3% </w:t>
      </w:r>
      <w:r w:rsidR="005B15EE">
        <w:rPr>
          <w:sz w:val="24"/>
          <w:szCs w:val="24"/>
        </w:rPr>
        <w:t>of babies admitted were 5 days old.</w:t>
      </w:r>
    </w:p>
    <w:p w14:paraId="547CFC1B" w14:textId="58C00EE8" w:rsidR="005B15EE" w:rsidRDefault="005B15EE" w:rsidP="006A6BFE">
      <w:pPr>
        <w:pStyle w:val="ListParagraph"/>
        <w:numPr>
          <w:ilvl w:val="0"/>
          <w:numId w:val="5"/>
        </w:numPr>
        <w:rPr>
          <w:sz w:val="24"/>
          <w:szCs w:val="24"/>
        </w:rPr>
      </w:pPr>
      <w:r>
        <w:rPr>
          <w:sz w:val="24"/>
          <w:szCs w:val="24"/>
        </w:rPr>
        <w:t>43.1% were of White origin and 29.1% were Asian.</w:t>
      </w:r>
    </w:p>
    <w:p w14:paraId="5B08D2D7" w14:textId="5CA07460" w:rsidR="005B15EE" w:rsidRDefault="005B15EE" w:rsidP="006A6BFE">
      <w:pPr>
        <w:pStyle w:val="ListParagraph"/>
        <w:numPr>
          <w:ilvl w:val="0"/>
          <w:numId w:val="5"/>
        </w:numPr>
        <w:rPr>
          <w:sz w:val="24"/>
          <w:szCs w:val="24"/>
        </w:rPr>
      </w:pPr>
      <w:r>
        <w:rPr>
          <w:sz w:val="24"/>
          <w:szCs w:val="24"/>
        </w:rPr>
        <w:t>35.7% of babies were diagnosed with jaundice, and 19.7% had feeding problems.</w:t>
      </w:r>
    </w:p>
    <w:p w14:paraId="28338AAB" w14:textId="2C727F21" w:rsidR="00E46596" w:rsidRDefault="005B15EE" w:rsidP="00E46596">
      <w:pPr>
        <w:pStyle w:val="ListParagraph"/>
        <w:numPr>
          <w:ilvl w:val="0"/>
          <w:numId w:val="5"/>
        </w:numPr>
        <w:spacing w:after="160" w:line="259" w:lineRule="auto"/>
        <w:rPr>
          <w:sz w:val="24"/>
          <w:szCs w:val="24"/>
        </w:rPr>
      </w:pPr>
      <w:r w:rsidRPr="002B0C2C">
        <w:rPr>
          <w:sz w:val="24"/>
          <w:szCs w:val="24"/>
        </w:rPr>
        <w:t xml:space="preserve">Around half of admissions were from the towns of West Bromwich or Smethwick (24.6% and 23.6% respectively).  </w:t>
      </w:r>
      <w:r w:rsidR="00917A50" w:rsidRPr="002B0C2C">
        <w:rPr>
          <w:sz w:val="24"/>
          <w:szCs w:val="24"/>
        </w:rPr>
        <w:t>Soho &amp; Victoria (8.0%), Oldbury (6.6%) and St. Pauls (6.4%) were the wards accounting for the highest proportion of admissions.</w:t>
      </w:r>
      <w:bookmarkStart w:id="9" w:name="_Hlk13837629"/>
    </w:p>
    <w:p w14:paraId="7584B561" w14:textId="77777777" w:rsidR="00D13C30" w:rsidRDefault="00D13C30">
      <w:pPr>
        <w:spacing w:after="160" w:line="259" w:lineRule="auto"/>
        <w:rPr>
          <w:sz w:val="24"/>
          <w:szCs w:val="24"/>
        </w:rPr>
      </w:pPr>
    </w:p>
    <w:p w14:paraId="3F83D683" w14:textId="1E4EDBF3" w:rsidR="00E46596" w:rsidRDefault="00E46596">
      <w:pPr>
        <w:spacing w:after="160" w:line="259" w:lineRule="auto"/>
        <w:rPr>
          <w:sz w:val="24"/>
          <w:szCs w:val="24"/>
        </w:rPr>
      </w:pPr>
      <w:r>
        <w:rPr>
          <w:sz w:val="24"/>
          <w:szCs w:val="24"/>
        </w:rPr>
        <w:br w:type="page"/>
      </w:r>
    </w:p>
    <w:bookmarkEnd w:id="9"/>
    <w:p w14:paraId="014AE079" w14:textId="77777777" w:rsidR="00427167" w:rsidRPr="00AF1C94" w:rsidRDefault="00427167" w:rsidP="00427167">
      <w:pPr>
        <w:pStyle w:val="Heading1"/>
      </w:pPr>
      <w:r w:rsidRPr="00AF1C94">
        <w:t>Early Years</w:t>
      </w:r>
    </w:p>
    <w:p w14:paraId="309228FF" w14:textId="77777777" w:rsidR="00427167" w:rsidRDefault="00427167" w:rsidP="005B1F6D">
      <w:pPr>
        <w:pStyle w:val="Heading2"/>
      </w:pPr>
      <w:bookmarkStart w:id="10" w:name="_Hlk13839029"/>
      <w:r>
        <w:t>Key Points</w:t>
      </w:r>
    </w:p>
    <w:p w14:paraId="723B8A76" w14:textId="5F8F9FE3" w:rsidR="00427167" w:rsidRPr="006D79FA" w:rsidRDefault="00427167" w:rsidP="00B13D4A">
      <w:pPr>
        <w:pStyle w:val="ListParagraph"/>
        <w:numPr>
          <w:ilvl w:val="0"/>
          <w:numId w:val="10"/>
        </w:numPr>
        <w:spacing w:before="120" w:after="200" w:line="240" w:lineRule="auto"/>
        <w:contextualSpacing w:val="0"/>
        <w:rPr>
          <w:rFonts w:cs="Arial"/>
          <w:sz w:val="24"/>
          <w:szCs w:val="24"/>
        </w:rPr>
      </w:pPr>
      <w:r w:rsidRPr="006D79FA">
        <w:rPr>
          <w:rFonts w:cs="Arial"/>
          <w:color w:val="333333"/>
          <w:sz w:val="24"/>
          <w:szCs w:val="24"/>
          <w:shd w:val="clear" w:color="auto" w:fill="FFFFFF"/>
        </w:rPr>
        <w:t>Infant mortality (Infant deaths under 1 year of age per 1000 live births) is s</w:t>
      </w:r>
      <w:r w:rsidRPr="006D79FA">
        <w:rPr>
          <w:rFonts w:cstheme="majorHAnsi"/>
          <w:sz w:val="24"/>
          <w:szCs w:val="24"/>
        </w:rPr>
        <w:t>ignificantly higher for Sandwell than England</w:t>
      </w:r>
      <w:r w:rsidR="00977468">
        <w:rPr>
          <w:rFonts w:cstheme="majorHAnsi"/>
          <w:sz w:val="24"/>
          <w:szCs w:val="24"/>
        </w:rPr>
        <w:t xml:space="preserve"> and is the highest in the country</w:t>
      </w:r>
      <w:r w:rsidRPr="006D79FA">
        <w:rPr>
          <w:rFonts w:cstheme="majorHAnsi"/>
          <w:sz w:val="24"/>
          <w:szCs w:val="24"/>
        </w:rPr>
        <w:t>. For 201</w:t>
      </w:r>
      <w:r w:rsidR="003C4223">
        <w:rPr>
          <w:rFonts w:cstheme="majorHAnsi"/>
          <w:sz w:val="24"/>
          <w:szCs w:val="24"/>
        </w:rPr>
        <w:t>8</w:t>
      </w:r>
      <w:r w:rsidRPr="006D79FA">
        <w:rPr>
          <w:rFonts w:cstheme="majorHAnsi"/>
          <w:sz w:val="24"/>
          <w:szCs w:val="24"/>
        </w:rPr>
        <w:t>-</w:t>
      </w:r>
      <w:r w:rsidR="003C4223">
        <w:rPr>
          <w:rFonts w:cstheme="majorHAnsi"/>
          <w:sz w:val="24"/>
          <w:szCs w:val="24"/>
        </w:rPr>
        <w:t>20</w:t>
      </w:r>
      <w:r>
        <w:rPr>
          <w:rFonts w:cstheme="majorHAnsi"/>
          <w:sz w:val="24"/>
          <w:szCs w:val="24"/>
        </w:rPr>
        <w:t xml:space="preserve">, </w:t>
      </w:r>
      <w:r w:rsidRPr="006D79FA">
        <w:rPr>
          <w:rFonts w:cstheme="majorHAnsi"/>
          <w:sz w:val="24"/>
          <w:szCs w:val="24"/>
        </w:rPr>
        <w:t>Sandwell</w:t>
      </w:r>
      <w:r>
        <w:rPr>
          <w:rFonts w:cstheme="majorHAnsi"/>
          <w:sz w:val="24"/>
          <w:szCs w:val="24"/>
        </w:rPr>
        <w:t>’s rate of</w:t>
      </w:r>
      <w:r w:rsidRPr="006D79FA">
        <w:rPr>
          <w:rFonts w:cstheme="majorHAnsi"/>
          <w:sz w:val="24"/>
          <w:szCs w:val="24"/>
        </w:rPr>
        <w:t xml:space="preserve"> 6.</w:t>
      </w:r>
      <w:r w:rsidR="003C4223">
        <w:rPr>
          <w:rFonts w:cstheme="majorHAnsi"/>
          <w:sz w:val="24"/>
          <w:szCs w:val="24"/>
        </w:rPr>
        <w:t>4</w:t>
      </w:r>
      <w:r w:rsidRPr="006D79FA">
        <w:rPr>
          <w:rFonts w:cstheme="majorHAnsi"/>
          <w:sz w:val="24"/>
          <w:szCs w:val="24"/>
        </w:rPr>
        <w:t xml:space="preserve"> per 1,000 live births</w:t>
      </w:r>
      <w:r>
        <w:rPr>
          <w:rFonts w:cstheme="majorHAnsi"/>
          <w:sz w:val="24"/>
          <w:szCs w:val="24"/>
        </w:rPr>
        <w:t xml:space="preserve"> compares with </w:t>
      </w:r>
      <w:r w:rsidRPr="006D79FA">
        <w:rPr>
          <w:rFonts w:cstheme="majorHAnsi"/>
          <w:sz w:val="24"/>
          <w:szCs w:val="24"/>
        </w:rPr>
        <w:t xml:space="preserve">England </w:t>
      </w:r>
      <w:r>
        <w:rPr>
          <w:rFonts w:cstheme="majorHAnsi"/>
          <w:sz w:val="24"/>
          <w:szCs w:val="24"/>
        </w:rPr>
        <w:t>(</w:t>
      </w:r>
      <w:r w:rsidRPr="006D79FA">
        <w:rPr>
          <w:rFonts w:cstheme="majorHAnsi"/>
          <w:sz w:val="24"/>
          <w:szCs w:val="24"/>
        </w:rPr>
        <w:t>3.9</w:t>
      </w:r>
      <w:r>
        <w:rPr>
          <w:rFonts w:cstheme="majorHAnsi"/>
          <w:sz w:val="24"/>
          <w:szCs w:val="24"/>
        </w:rPr>
        <w:t xml:space="preserve">) and </w:t>
      </w:r>
      <w:r w:rsidRPr="006D79FA">
        <w:rPr>
          <w:rFonts w:cstheme="majorHAnsi"/>
          <w:sz w:val="24"/>
          <w:szCs w:val="24"/>
        </w:rPr>
        <w:t xml:space="preserve">West Midlands </w:t>
      </w:r>
      <w:r>
        <w:rPr>
          <w:rFonts w:cstheme="majorHAnsi"/>
          <w:sz w:val="24"/>
          <w:szCs w:val="24"/>
        </w:rPr>
        <w:t>(</w:t>
      </w:r>
      <w:r w:rsidRPr="006D79FA">
        <w:rPr>
          <w:rFonts w:cstheme="majorHAnsi"/>
          <w:sz w:val="24"/>
          <w:szCs w:val="24"/>
        </w:rPr>
        <w:t>5.</w:t>
      </w:r>
      <w:r w:rsidR="003C4223">
        <w:rPr>
          <w:rFonts w:cstheme="majorHAnsi"/>
          <w:sz w:val="24"/>
          <w:szCs w:val="24"/>
        </w:rPr>
        <w:t>6</w:t>
      </w:r>
      <w:r>
        <w:rPr>
          <w:rFonts w:cstheme="majorHAnsi"/>
          <w:sz w:val="24"/>
          <w:szCs w:val="24"/>
        </w:rPr>
        <w:t>)</w:t>
      </w:r>
      <w:r w:rsidRPr="006D79FA">
        <w:rPr>
          <w:rFonts w:cstheme="majorHAnsi"/>
          <w:sz w:val="24"/>
          <w:szCs w:val="24"/>
        </w:rPr>
        <w:t>.</w:t>
      </w:r>
    </w:p>
    <w:p w14:paraId="63412577" w14:textId="2B3934F5" w:rsidR="00477443" w:rsidRPr="005376D4" w:rsidRDefault="00427167" w:rsidP="005376D4">
      <w:pPr>
        <w:pStyle w:val="ListParagraph"/>
        <w:numPr>
          <w:ilvl w:val="0"/>
          <w:numId w:val="10"/>
        </w:numPr>
        <w:spacing w:before="120" w:after="200" w:line="240" w:lineRule="auto"/>
        <w:ind w:left="714" w:hanging="357"/>
        <w:contextualSpacing w:val="0"/>
        <w:rPr>
          <w:rFonts w:cs="Arial"/>
          <w:sz w:val="24"/>
          <w:szCs w:val="24"/>
        </w:rPr>
      </w:pPr>
      <w:r w:rsidRPr="00580BD2">
        <w:rPr>
          <w:rFonts w:cs="Arial"/>
          <w:sz w:val="24"/>
          <w:szCs w:val="24"/>
        </w:rPr>
        <w:t>In 201</w:t>
      </w:r>
      <w:r w:rsidR="00844526">
        <w:rPr>
          <w:rFonts w:cs="Arial"/>
          <w:sz w:val="24"/>
          <w:szCs w:val="24"/>
        </w:rPr>
        <w:t>9</w:t>
      </w:r>
      <w:r w:rsidRPr="00580BD2">
        <w:rPr>
          <w:rFonts w:cs="Arial"/>
          <w:sz w:val="24"/>
          <w:szCs w:val="24"/>
        </w:rPr>
        <w:t xml:space="preserve">, </w:t>
      </w:r>
      <w:r>
        <w:rPr>
          <w:rFonts w:cs="Arial"/>
          <w:sz w:val="24"/>
          <w:szCs w:val="24"/>
        </w:rPr>
        <w:t>p</w:t>
      </w:r>
      <w:r w:rsidRPr="00580BD2">
        <w:rPr>
          <w:rFonts w:cs="Arial"/>
          <w:sz w:val="24"/>
          <w:szCs w:val="24"/>
        </w:rPr>
        <w:t xml:space="preserve">ost-neonatal </w:t>
      </w:r>
      <w:r w:rsidR="005376D4">
        <w:rPr>
          <w:rFonts w:cs="Arial"/>
          <w:sz w:val="24"/>
          <w:szCs w:val="24"/>
        </w:rPr>
        <w:t xml:space="preserve">was 0.9 for Sandwell, 1.5 for West Midlands </w:t>
      </w:r>
      <w:r w:rsidRPr="00580BD2">
        <w:rPr>
          <w:rFonts w:cs="Arial"/>
          <w:sz w:val="24"/>
          <w:szCs w:val="24"/>
        </w:rPr>
        <w:t xml:space="preserve">and </w:t>
      </w:r>
      <w:r w:rsidR="005376D4">
        <w:rPr>
          <w:rFonts w:cs="Arial"/>
          <w:sz w:val="24"/>
          <w:szCs w:val="24"/>
        </w:rPr>
        <w:t xml:space="preserve">1.0 for England </w:t>
      </w:r>
      <w:r w:rsidRPr="00580BD2">
        <w:rPr>
          <w:rFonts w:cs="Arial"/>
          <w:sz w:val="24"/>
          <w:szCs w:val="24"/>
        </w:rPr>
        <w:t xml:space="preserve">per 1,000 live births </w:t>
      </w:r>
    </w:p>
    <w:p w14:paraId="713BD5AD" w14:textId="2D86C3C3" w:rsidR="00427167" w:rsidRPr="00580BD2" w:rsidRDefault="00477443" w:rsidP="00B13D4A">
      <w:pPr>
        <w:pStyle w:val="ListParagraph"/>
        <w:numPr>
          <w:ilvl w:val="0"/>
          <w:numId w:val="10"/>
        </w:numPr>
        <w:spacing w:before="120" w:after="200" w:line="240" w:lineRule="auto"/>
        <w:ind w:left="714" w:hanging="357"/>
        <w:contextualSpacing w:val="0"/>
        <w:rPr>
          <w:rFonts w:cs="Arial"/>
          <w:sz w:val="24"/>
          <w:szCs w:val="24"/>
        </w:rPr>
      </w:pPr>
      <w:r>
        <w:rPr>
          <w:rFonts w:cs="Arial"/>
          <w:sz w:val="24"/>
          <w:szCs w:val="24"/>
        </w:rPr>
        <w:t>In 2019</w:t>
      </w:r>
      <w:r w:rsidR="00427167" w:rsidRPr="00580BD2">
        <w:rPr>
          <w:rFonts w:cs="Arial"/>
          <w:sz w:val="24"/>
          <w:szCs w:val="24"/>
        </w:rPr>
        <w:t xml:space="preserve"> </w:t>
      </w:r>
      <w:r w:rsidR="00427167">
        <w:rPr>
          <w:rFonts w:cs="Arial"/>
          <w:sz w:val="24"/>
          <w:szCs w:val="24"/>
        </w:rPr>
        <w:t>n</w:t>
      </w:r>
      <w:r w:rsidR="00427167" w:rsidRPr="00580BD2">
        <w:rPr>
          <w:rFonts w:cs="Arial"/>
          <w:sz w:val="24"/>
          <w:szCs w:val="24"/>
        </w:rPr>
        <w:t xml:space="preserve">eonatal mortality </w:t>
      </w:r>
      <w:r>
        <w:rPr>
          <w:rFonts w:cs="Arial"/>
          <w:sz w:val="24"/>
          <w:szCs w:val="24"/>
        </w:rPr>
        <w:t xml:space="preserve">was 3.6 for Sandwell, 4.0 for West Midlands and 2.7 for England </w:t>
      </w:r>
      <w:r w:rsidR="00427167" w:rsidRPr="00580BD2">
        <w:rPr>
          <w:rFonts w:cs="Arial"/>
          <w:sz w:val="24"/>
          <w:szCs w:val="24"/>
        </w:rPr>
        <w:t xml:space="preserve">per 1,000 live births </w:t>
      </w:r>
    </w:p>
    <w:p w14:paraId="1F81395F" w14:textId="6905ECC6" w:rsidR="00427167" w:rsidRPr="00F319D8" w:rsidRDefault="0073242F" w:rsidP="00B13D4A">
      <w:pPr>
        <w:pStyle w:val="ListParagraph"/>
        <w:numPr>
          <w:ilvl w:val="0"/>
          <w:numId w:val="10"/>
        </w:numPr>
        <w:spacing w:before="120" w:after="200" w:line="240" w:lineRule="auto"/>
        <w:ind w:left="714" w:hanging="357"/>
        <w:contextualSpacing w:val="0"/>
        <w:rPr>
          <w:sz w:val="24"/>
          <w:szCs w:val="24"/>
        </w:rPr>
      </w:pPr>
      <w:r>
        <w:rPr>
          <w:rFonts w:cs="Arial"/>
          <w:sz w:val="24"/>
          <w:szCs w:val="24"/>
        </w:rPr>
        <w:t>The proportion of babies whose first feed is breastmilk stands at 63.5% in 2018/19 in Sandwell. This is significantly below the England average of 67.4%.</w:t>
      </w:r>
    </w:p>
    <w:p w14:paraId="3B82BE2A" w14:textId="34C810FD" w:rsidR="00427167" w:rsidRPr="00432DC4" w:rsidRDefault="00427167" w:rsidP="00B13D4A">
      <w:pPr>
        <w:pStyle w:val="ListParagraph"/>
        <w:numPr>
          <w:ilvl w:val="0"/>
          <w:numId w:val="10"/>
        </w:numPr>
        <w:spacing w:before="120" w:after="200" w:line="240" w:lineRule="auto"/>
        <w:ind w:left="714" w:hanging="357"/>
        <w:contextualSpacing w:val="0"/>
        <w:rPr>
          <w:sz w:val="24"/>
          <w:szCs w:val="24"/>
        </w:rPr>
      </w:pPr>
      <w:r>
        <w:rPr>
          <w:rFonts w:cstheme="majorHAnsi"/>
          <w:sz w:val="24"/>
          <w:szCs w:val="24"/>
        </w:rPr>
        <w:t xml:space="preserve">In </w:t>
      </w:r>
      <w:r w:rsidRPr="00580BD2">
        <w:rPr>
          <w:rFonts w:cstheme="majorHAnsi"/>
          <w:sz w:val="24"/>
          <w:szCs w:val="24"/>
        </w:rPr>
        <w:t>201</w:t>
      </w:r>
      <w:r w:rsidR="008C0E2C">
        <w:rPr>
          <w:rFonts w:cstheme="majorHAnsi"/>
          <w:sz w:val="24"/>
          <w:szCs w:val="24"/>
        </w:rPr>
        <w:t>9</w:t>
      </w:r>
      <w:r w:rsidRPr="00580BD2">
        <w:rPr>
          <w:rFonts w:cstheme="majorHAnsi"/>
          <w:sz w:val="24"/>
          <w:szCs w:val="24"/>
        </w:rPr>
        <w:t>/</w:t>
      </w:r>
      <w:r w:rsidR="008C0E2C">
        <w:rPr>
          <w:rFonts w:cstheme="majorHAnsi"/>
          <w:sz w:val="24"/>
          <w:szCs w:val="24"/>
        </w:rPr>
        <w:t>20</w:t>
      </w:r>
      <w:r w:rsidRPr="00580BD2">
        <w:rPr>
          <w:rFonts w:cstheme="majorHAnsi"/>
          <w:sz w:val="24"/>
          <w:szCs w:val="24"/>
        </w:rPr>
        <w:t xml:space="preserve"> </w:t>
      </w:r>
      <w:r>
        <w:rPr>
          <w:rFonts w:cstheme="majorHAnsi"/>
          <w:sz w:val="24"/>
          <w:szCs w:val="24"/>
        </w:rPr>
        <w:t>there were</w:t>
      </w:r>
      <w:r w:rsidRPr="00580BD2">
        <w:rPr>
          <w:rFonts w:cstheme="majorHAnsi"/>
          <w:sz w:val="24"/>
          <w:szCs w:val="24"/>
        </w:rPr>
        <w:t xml:space="preserve"> 6</w:t>
      </w:r>
      <w:r w:rsidR="008C0E2C">
        <w:rPr>
          <w:rFonts w:cstheme="majorHAnsi"/>
          <w:sz w:val="24"/>
          <w:szCs w:val="24"/>
        </w:rPr>
        <w:t>04</w:t>
      </w:r>
      <w:r w:rsidRPr="00580BD2">
        <w:rPr>
          <w:rFonts w:cstheme="majorHAnsi"/>
          <w:sz w:val="24"/>
          <w:szCs w:val="24"/>
        </w:rPr>
        <w:t xml:space="preserve"> A&amp; E attendance</w:t>
      </w:r>
      <w:r>
        <w:rPr>
          <w:rFonts w:cstheme="majorHAnsi"/>
          <w:sz w:val="24"/>
          <w:szCs w:val="24"/>
        </w:rPr>
        <w:t>s</w:t>
      </w:r>
      <w:r w:rsidRPr="00580BD2">
        <w:rPr>
          <w:rFonts w:cstheme="majorHAnsi"/>
          <w:sz w:val="24"/>
          <w:szCs w:val="24"/>
        </w:rPr>
        <w:t xml:space="preserve"> per 1</w:t>
      </w:r>
      <w:r>
        <w:rPr>
          <w:rFonts w:cstheme="majorHAnsi"/>
          <w:sz w:val="24"/>
          <w:szCs w:val="24"/>
        </w:rPr>
        <w:t>,</w:t>
      </w:r>
      <w:r w:rsidRPr="00580BD2">
        <w:rPr>
          <w:rFonts w:cstheme="majorHAnsi"/>
          <w:sz w:val="24"/>
          <w:szCs w:val="24"/>
        </w:rPr>
        <w:t>000 0-4-year-old</w:t>
      </w:r>
      <w:r>
        <w:rPr>
          <w:rFonts w:cstheme="majorHAnsi"/>
          <w:sz w:val="24"/>
          <w:szCs w:val="24"/>
        </w:rPr>
        <w:t xml:space="preserve">s in Sandwell and </w:t>
      </w:r>
      <w:r w:rsidR="00234F81">
        <w:rPr>
          <w:rFonts w:cstheme="majorHAnsi"/>
          <w:sz w:val="24"/>
          <w:szCs w:val="24"/>
        </w:rPr>
        <w:t>108</w:t>
      </w:r>
      <w:r w:rsidR="000F07DB">
        <w:rPr>
          <w:rFonts w:cstheme="majorHAnsi"/>
          <w:sz w:val="24"/>
          <w:szCs w:val="24"/>
        </w:rPr>
        <w:t>.6</w:t>
      </w:r>
      <w:r w:rsidRPr="00580BD2">
        <w:rPr>
          <w:rFonts w:cstheme="majorHAnsi"/>
          <w:sz w:val="24"/>
          <w:szCs w:val="24"/>
        </w:rPr>
        <w:t xml:space="preserve"> emergency admissions per 1</w:t>
      </w:r>
      <w:r>
        <w:rPr>
          <w:rFonts w:cstheme="majorHAnsi"/>
          <w:sz w:val="24"/>
          <w:szCs w:val="24"/>
        </w:rPr>
        <w:t>,</w:t>
      </w:r>
      <w:r w:rsidRPr="00580BD2">
        <w:rPr>
          <w:rFonts w:cstheme="majorHAnsi"/>
          <w:sz w:val="24"/>
          <w:szCs w:val="24"/>
        </w:rPr>
        <w:t>000 0-4-year-old</w:t>
      </w:r>
      <w:r>
        <w:rPr>
          <w:rFonts w:cstheme="majorHAnsi"/>
          <w:sz w:val="24"/>
          <w:szCs w:val="24"/>
        </w:rPr>
        <w:t>s (20</w:t>
      </w:r>
      <w:r w:rsidR="000F07DB">
        <w:rPr>
          <w:rFonts w:cstheme="majorHAnsi"/>
          <w:sz w:val="24"/>
          <w:szCs w:val="24"/>
        </w:rPr>
        <w:t>20</w:t>
      </w:r>
      <w:r>
        <w:rPr>
          <w:rFonts w:cstheme="majorHAnsi"/>
          <w:sz w:val="24"/>
          <w:szCs w:val="24"/>
        </w:rPr>
        <w:t>/</w:t>
      </w:r>
      <w:r w:rsidR="00234F81">
        <w:rPr>
          <w:rFonts w:cstheme="majorHAnsi"/>
          <w:sz w:val="24"/>
          <w:szCs w:val="24"/>
        </w:rPr>
        <w:t>2</w:t>
      </w:r>
      <w:r w:rsidR="000F07DB">
        <w:rPr>
          <w:rFonts w:cstheme="majorHAnsi"/>
          <w:sz w:val="24"/>
          <w:szCs w:val="24"/>
        </w:rPr>
        <w:t>1</w:t>
      </w:r>
      <w:r>
        <w:rPr>
          <w:rFonts w:cstheme="majorHAnsi"/>
          <w:sz w:val="24"/>
          <w:szCs w:val="24"/>
        </w:rPr>
        <w:t xml:space="preserve">). </w:t>
      </w:r>
      <w:r w:rsidR="003F547E">
        <w:rPr>
          <w:rFonts w:cstheme="majorHAnsi"/>
          <w:sz w:val="24"/>
          <w:szCs w:val="24"/>
        </w:rPr>
        <w:t>Emergency admissions</w:t>
      </w:r>
      <w:r>
        <w:rPr>
          <w:rFonts w:cstheme="majorHAnsi"/>
          <w:sz w:val="24"/>
          <w:szCs w:val="24"/>
        </w:rPr>
        <w:t xml:space="preserve"> are significantly worse than England and the West Midlands.</w:t>
      </w:r>
    </w:p>
    <w:p w14:paraId="21C62421" w14:textId="77777777" w:rsidR="00427167" w:rsidRPr="00932EC9" w:rsidRDefault="00427167" w:rsidP="00B13D4A">
      <w:pPr>
        <w:pStyle w:val="ListParagraph"/>
        <w:numPr>
          <w:ilvl w:val="0"/>
          <w:numId w:val="10"/>
        </w:numPr>
        <w:spacing w:before="120" w:after="200" w:line="240" w:lineRule="auto"/>
        <w:ind w:left="714" w:hanging="357"/>
        <w:contextualSpacing w:val="0"/>
        <w:rPr>
          <w:sz w:val="24"/>
          <w:szCs w:val="24"/>
        </w:rPr>
      </w:pPr>
      <w:r w:rsidRPr="00432DC4">
        <w:rPr>
          <w:rFonts w:cstheme="majorHAnsi"/>
          <w:sz w:val="24"/>
          <w:szCs w:val="24"/>
        </w:rPr>
        <w:t xml:space="preserve">Sandwell health visiting teams are actively using the </w:t>
      </w:r>
      <w:r w:rsidRPr="00432DC4">
        <w:rPr>
          <w:rFonts w:cstheme="majorHAnsi"/>
          <w:sz w:val="24"/>
          <w:szCs w:val="24"/>
          <w:lang w:val="en-US"/>
        </w:rPr>
        <w:t xml:space="preserve">Ages &amp; Stages Questionnaires (ASQ-3) as a tool to assess </w:t>
      </w:r>
      <w:r w:rsidRPr="00432DC4">
        <w:rPr>
          <w:rFonts w:cstheme="majorHAnsi"/>
          <w:sz w:val="24"/>
          <w:szCs w:val="24"/>
        </w:rPr>
        <w:t>five domains of child development: communication, gross motor skills, fine motor skills, problem solving and personal-social development. In 2017/18, 96% of Sandwell children received their 2</w:t>
      </w:r>
      <w:r>
        <w:rPr>
          <w:rFonts w:ascii="Calibri" w:hAnsi="Calibri" w:cs="Calibri"/>
          <w:sz w:val="24"/>
          <w:szCs w:val="24"/>
        </w:rPr>
        <w:t>⅟</w:t>
      </w:r>
      <w:r w:rsidRPr="00932EC9">
        <w:rPr>
          <w:rFonts w:cstheme="majorHAnsi"/>
          <w:b/>
          <w:sz w:val="22"/>
          <w:szCs w:val="22"/>
          <w:vertAlign w:val="subscript"/>
        </w:rPr>
        <w:t>2</w:t>
      </w:r>
      <w:r w:rsidRPr="00432DC4">
        <w:rPr>
          <w:rFonts w:cstheme="majorHAnsi"/>
          <w:sz w:val="24"/>
          <w:szCs w:val="24"/>
        </w:rPr>
        <w:t xml:space="preserve"> year check. </w:t>
      </w:r>
    </w:p>
    <w:p w14:paraId="4964DBC8" w14:textId="250EB404" w:rsidR="00427167" w:rsidRPr="00C74733" w:rsidRDefault="00427167" w:rsidP="00B13D4A">
      <w:pPr>
        <w:pStyle w:val="ListParagraph"/>
        <w:numPr>
          <w:ilvl w:val="0"/>
          <w:numId w:val="10"/>
        </w:numPr>
        <w:spacing w:before="120" w:after="200" w:line="240" w:lineRule="auto"/>
        <w:ind w:left="714" w:hanging="357"/>
        <w:contextualSpacing w:val="0"/>
      </w:pPr>
      <w:r w:rsidRPr="00C74733">
        <w:rPr>
          <w:rFonts w:cstheme="majorHAnsi"/>
          <w:sz w:val="24"/>
          <w:szCs w:val="24"/>
        </w:rPr>
        <w:t>A lower proportion of Sandwell children are school ready compared to than other parts of the West Midlands region and England.  For 201</w:t>
      </w:r>
      <w:r w:rsidR="006012D8">
        <w:rPr>
          <w:rFonts w:cstheme="majorHAnsi"/>
          <w:sz w:val="24"/>
          <w:szCs w:val="24"/>
        </w:rPr>
        <w:t>8</w:t>
      </w:r>
      <w:r w:rsidRPr="00C74733">
        <w:rPr>
          <w:rFonts w:cstheme="majorHAnsi"/>
          <w:sz w:val="24"/>
          <w:szCs w:val="24"/>
        </w:rPr>
        <w:t>/1</w:t>
      </w:r>
      <w:r w:rsidR="006012D8">
        <w:rPr>
          <w:rFonts w:cstheme="majorHAnsi"/>
          <w:sz w:val="24"/>
          <w:szCs w:val="24"/>
        </w:rPr>
        <w:t>9</w:t>
      </w:r>
      <w:r w:rsidRPr="00C74733">
        <w:rPr>
          <w:rFonts w:cstheme="majorHAnsi"/>
          <w:sz w:val="24"/>
          <w:szCs w:val="24"/>
        </w:rPr>
        <w:t>, 66.</w:t>
      </w:r>
      <w:r w:rsidR="006012D8">
        <w:rPr>
          <w:rFonts w:cstheme="majorHAnsi"/>
          <w:sz w:val="24"/>
          <w:szCs w:val="24"/>
        </w:rPr>
        <w:t>8</w:t>
      </w:r>
      <w:r w:rsidRPr="00C74733">
        <w:rPr>
          <w:rFonts w:cstheme="majorHAnsi"/>
          <w:sz w:val="24"/>
          <w:szCs w:val="24"/>
        </w:rPr>
        <w:t>% of Sandwell children achieved a good level of development.  This is statistically lower than England (71.</w:t>
      </w:r>
      <w:r w:rsidR="006012D8">
        <w:rPr>
          <w:rFonts w:cstheme="majorHAnsi"/>
          <w:sz w:val="24"/>
          <w:szCs w:val="24"/>
        </w:rPr>
        <w:t>8</w:t>
      </w:r>
      <w:r w:rsidRPr="00C74733">
        <w:rPr>
          <w:rFonts w:cstheme="majorHAnsi"/>
          <w:sz w:val="24"/>
          <w:szCs w:val="24"/>
        </w:rPr>
        <w:t>%) and the West Midlands region (</w:t>
      </w:r>
      <w:r w:rsidR="006012D8">
        <w:rPr>
          <w:rFonts w:cstheme="majorHAnsi"/>
          <w:sz w:val="24"/>
          <w:szCs w:val="24"/>
        </w:rPr>
        <w:t>70</w:t>
      </w:r>
      <w:r w:rsidRPr="00C74733">
        <w:rPr>
          <w:rFonts w:cstheme="majorHAnsi"/>
          <w:sz w:val="24"/>
          <w:szCs w:val="24"/>
        </w:rPr>
        <w:t>.</w:t>
      </w:r>
      <w:r w:rsidR="006012D8">
        <w:rPr>
          <w:rFonts w:cstheme="majorHAnsi"/>
          <w:sz w:val="24"/>
          <w:szCs w:val="24"/>
        </w:rPr>
        <w:t>1</w:t>
      </w:r>
      <w:r w:rsidRPr="00C74733">
        <w:rPr>
          <w:rFonts w:cstheme="majorHAnsi"/>
          <w:sz w:val="24"/>
          <w:szCs w:val="24"/>
        </w:rPr>
        <w:t>%).</w:t>
      </w:r>
    </w:p>
    <w:p w14:paraId="3D5060AC" w14:textId="77777777" w:rsidR="00427167" w:rsidRPr="00B85DE7" w:rsidRDefault="00427167" w:rsidP="00B13D4A">
      <w:pPr>
        <w:pStyle w:val="ListParagraph"/>
        <w:numPr>
          <w:ilvl w:val="0"/>
          <w:numId w:val="10"/>
        </w:numPr>
        <w:spacing w:before="120" w:after="200" w:line="240" w:lineRule="auto"/>
        <w:ind w:left="714" w:hanging="357"/>
        <w:contextualSpacing w:val="0"/>
        <w:rPr>
          <w:rFonts w:cs="Arial"/>
          <w:sz w:val="24"/>
          <w:szCs w:val="24"/>
        </w:rPr>
      </w:pPr>
      <w:r w:rsidRPr="00B85DE7">
        <w:rPr>
          <w:rFonts w:cstheme="majorHAnsi"/>
          <w:sz w:val="24"/>
          <w:szCs w:val="24"/>
        </w:rPr>
        <w:t xml:space="preserve">In October 2019, there were 6960 active members of Sandwell libraries aged 0 to 5 (20.6% of all 0-5 year olds). </w:t>
      </w:r>
    </w:p>
    <w:p w14:paraId="4F99783B" w14:textId="77777777" w:rsidR="00427167" w:rsidRDefault="00427167" w:rsidP="00B13D4A">
      <w:pPr>
        <w:pStyle w:val="ListParagraph"/>
        <w:numPr>
          <w:ilvl w:val="0"/>
          <w:numId w:val="10"/>
        </w:numPr>
        <w:spacing w:before="120" w:after="200" w:line="240" w:lineRule="auto"/>
        <w:ind w:left="714" w:hanging="357"/>
        <w:contextualSpacing w:val="0"/>
        <w:rPr>
          <w:rFonts w:cs="Arial"/>
          <w:sz w:val="24"/>
          <w:szCs w:val="24"/>
        </w:rPr>
      </w:pPr>
      <w:r w:rsidRPr="00B85DE7">
        <w:rPr>
          <w:rFonts w:cs="Arial"/>
          <w:sz w:val="24"/>
          <w:szCs w:val="24"/>
        </w:rPr>
        <w:t xml:space="preserve">All three and four year olds are entitled to 570 hours of free early education and childcare (NEF) a year.  The take-up rates for NEF at 96% (DfE LAIT 2019) are good and are just above the national average, with 9186 Sandwell children taking up their free place. </w:t>
      </w:r>
    </w:p>
    <w:p w14:paraId="4DA64FCA" w14:textId="77777777" w:rsidR="00427167" w:rsidRPr="00B85DE7" w:rsidRDefault="00427167" w:rsidP="00B13D4A">
      <w:pPr>
        <w:pStyle w:val="ListParagraph"/>
        <w:numPr>
          <w:ilvl w:val="0"/>
          <w:numId w:val="10"/>
        </w:numPr>
        <w:spacing w:before="120" w:after="200" w:line="240" w:lineRule="auto"/>
        <w:ind w:left="714" w:hanging="357"/>
        <w:contextualSpacing w:val="0"/>
        <w:rPr>
          <w:rFonts w:eastAsia="Times New Roman" w:cstheme="minorHAnsi"/>
          <w:sz w:val="24"/>
          <w:szCs w:val="24"/>
          <w:lang w:eastAsia="en-GB"/>
        </w:rPr>
      </w:pPr>
      <w:r w:rsidRPr="00B85DE7">
        <w:rPr>
          <w:rFonts w:cs="Arial"/>
          <w:sz w:val="24"/>
          <w:szCs w:val="24"/>
        </w:rPr>
        <w:t>Early Learning for two year olds (ELT) was also introduced in 2013 and is targeted by government at the most disadvantaged families. The take-up for ELT in the borough has continued to grow. In 2019, 1471 children were taking up places, with a take-up rate of 68%.</w:t>
      </w:r>
    </w:p>
    <w:p w14:paraId="004FE8DB" w14:textId="371217F8" w:rsidR="00427167" w:rsidRDefault="00427167" w:rsidP="00B13D4A">
      <w:pPr>
        <w:pStyle w:val="ListParagraph"/>
        <w:numPr>
          <w:ilvl w:val="0"/>
          <w:numId w:val="11"/>
        </w:numPr>
        <w:spacing w:before="120" w:after="200" w:line="240" w:lineRule="auto"/>
        <w:contextualSpacing w:val="0"/>
      </w:pPr>
      <w:r w:rsidRPr="00B85DE7">
        <w:rPr>
          <w:rFonts w:eastAsia="Times New Roman" w:cstheme="minorHAnsi"/>
          <w:sz w:val="24"/>
          <w:szCs w:val="24"/>
          <w:lang w:eastAsia="en-GB"/>
        </w:rPr>
        <w:t xml:space="preserve">In terms of excess weight (children who are overweight or obese), at Reception age, Sandwell generally has a higher proportion of children who have excess weight, and this is significantly higher than the West Midlands and England averages. In </w:t>
      </w:r>
      <w:r w:rsidRPr="00B85DE7">
        <w:rPr>
          <w:rFonts w:cstheme="minorHAnsi"/>
          <w:sz w:val="24"/>
          <w:szCs w:val="24"/>
        </w:rPr>
        <w:t>201</w:t>
      </w:r>
      <w:r w:rsidR="00CD1B66">
        <w:rPr>
          <w:rFonts w:cstheme="minorHAnsi"/>
          <w:sz w:val="24"/>
          <w:szCs w:val="24"/>
        </w:rPr>
        <w:t>9</w:t>
      </w:r>
      <w:r w:rsidRPr="00B85DE7">
        <w:rPr>
          <w:rFonts w:cstheme="minorHAnsi"/>
          <w:sz w:val="24"/>
          <w:szCs w:val="24"/>
        </w:rPr>
        <w:t>/</w:t>
      </w:r>
      <w:r w:rsidR="00CD1B66">
        <w:rPr>
          <w:rFonts w:cstheme="minorHAnsi"/>
          <w:sz w:val="24"/>
          <w:szCs w:val="24"/>
        </w:rPr>
        <w:t>20</w:t>
      </w:r>
      <w:r w:rsidRPr="00B85DE7">
        <w:rPr>
          <w:rFonts w:cstheme="minorHAnsi"/>
          <w:sz w:val="24"/>
          <w:szCs w:val="24"/>
        </w:rPr>
        <w:t xml:space="preserve">, </w:t>
      </w:r>
      <w:r w:rsidR="00CD1B66">
        <w:rPr>
          <w:rFonts w:cstheme="minorHAnsi"/>
          <w:sz w:val="24"/>
          <w:szCs w:val="24"/>
        </w:rPr>
        <w:t>25.1</w:t>
      </w:r>
      <w:r w:rsidRPr="00B85DE7">
        <w:rPr>
          <w:rFonts w:cstheme="minorHAnsi"/>
          <w:sz w:val="24"/>
          <w:szCs w:val="24"/>
        </w:rPr>
        <w:t>% of Sandwell reception age children are overweight (including obesity).</w:t>
      </w:r>
      <w:r>
        <w:br/>
      </w:r>
    </w:p>
    <w:p w14:paraId="0F4C9B9D" w14:textId="77777777" w:rsidR="00427167" w:rsidRPr="00AF1C94" w:rsidRDefault="00427167" w:rsidP="005B1F6D">
      <w:pPr>
        <w:pStyle w:val="Heading2"/>
      </w:pPr>
      <w:r w:rsidRPr="00AF1C94">
        <w:t>Infant Mortality</w:t>
      </w:r>
    </w:p>
    <w:bookmarkEnd w:id="10"/>
    <w:p w14:paraId="08FA8A52" w14:textId="77777777" w:rsidR="00427167" w:rsidRPr="00470E5D" w:rsidRDefault="00427167" w:rsidP="00427167">
      <w:pPr>
        <w:spacing w:before="100" w:beforeAutospacing="1" w:after="100" w:afterAutospacing="1" w:line="240" w:lineRule="auto"/>
        <w:rPr>
          <w:rFonts w:eastAsia="Times New Roman" w:cstheme="minorHAnsi"/>
          <w:color w:val="0E1B26"/>
          <w:sz w:val="24"/>
          <w:szCs w:val="24"/>
          <w:lang w:eastAsia="en-GB"/>
        </w:rPr>
      </w:pPr>
      <w:r w:rsidRPr="00470E5D">
        <w:rPr>
          <w:rFonts w:eastAsia="Times New Roman" w:cstheme="minorHAnsi"/>
          <w:color w:val="0E1B26"/>
          <w:sz w:val="24"/>
          <w:szCs w:val="24"/>
          <w:lang w:eastAsia="en-GB"/>
        </w:rPr>
        <w:t>Conditions relating to premature birth, such as respiratory and cardiovascular disorders, and congenital abnormalities, are common causes of infant deaths. The three major causes of neonatal deaths worldwide are infections, premature birth and suffocation.</w:t>
      </w:r>
    </w:p>
    <w:p w14:paraId="0E991EE0" w14:textId="77777777" w:rsidR="00427167" w:rsidRPr="00470E5D" w:rsidRDefault="00427167" w:rsidP="00427167">
      <w:pPr>
        <w:spacing w:before="100" w:beforeAutospacing="1" w:after="100" w:afterAutospacing="1" w:line="240" w:lineRule="auto"/>
        <w:rPr>
          <w:rFonts w:ascii="Utopia W01" w:eastAsia="Times New Roman" w:hAnsi="Utopia W01" w:cs="Times New Roman"/>
          <w:color w:val="0E1B26"/>
          <w:sz w:val="27"/>
          <w:szCs w:val="27"/>
          <w:lang w:eastAsia="en-GB"/>
        </w:rPr>
      </w:pPr>
      <w:r w:rsidRPr="00470E5D">
        <w:rPr>
          <w:rFonts w:eastAsia="Times New Roman" w:cstheme="minorHAnsi"/>
          <w:color w:val="0E1B26"/>
          <w:sz w:val="24"/>
          <w:szCs w:val="24"/>
          <w:lang w:eastAsia="en-GB"/>
        </w:rPr>
        <w:t xml:space="preserve">Measures that reduce poverty and mitigate the impact of poverty on the health of women before and during pregnancy will have a significant impact on the risk of stillbirth and death during infancy. Policies that are directed at improving the health of pregnant women (such as </w:t>
      </w:r>
      <w:hyperlink r:id="rId37" w:history="1">
        <w:r w:rsidRPr="00470E5D">
          <w:rPr>
            <w:rFonts w:eastAsia="Times New Roman" w:cstheme="minorHAnsi"/>
            <w:bCs/>
            <w:sz w:val="24"/>
            <w:szCs w:val="24"/>
            <w:lang w:eastAsia="en-GB"/>
          </w:rPr>
          <w:t>Stop Smoking services</w:t>
        </w:r>
      </w:hyperlink>
      <w:r w:rsidRPr="00470E5D">
        <w:rPr>
          <w:rFonts w:eastAsia="Times New Roman" w:cstheme="minorHAnsi"/>
          <w:color w:val="0E1B26"/>
          <w:sz w:val="24"/>
          <w:szCs w:val="24"/>
          <w:lang w:eastAsia="en-GB"/>
        </w:rPr>
        <w:t>), and early intervention services such as health visiting and midwifery, are likely to reduce infant and neonatal mortality rates.</w:t>
      </w:r>
    </w:p>
    <w:p w14:paraId="23422E0E" w14:textId="77777777" w:rsidR="00427167" w:rsidRPr="00580BD2" w:rsidRDefault="00427167" w:rsidP="00427167">
      <w:pPr>
        <w:rPr>
          <w:rFonts w:cstheme="majorHAnsi"/>
          <w:sz w:val="24"/>
          <w:szCs w:val="24"/>
          <w:u w:val="single"/>
        </w:rPr>
      </w:pPr>
      <w:r w:rsidRPr="00580BD2">
        <w:rPr>
          <w:rFonts w:cs="Arial"/>
          <w:color w:val="333333"/>
          <w:sz w:val="24"/>
          <w:szCs w:val="24"/>
          <w:shd w:val="clear" w:color="auto" w:fill="FFFFFF"/>
        </w:rPr>
        <w:t>Reducing infant mortality overall and the gap between the richest and poorest groups are part of the Government's strategy for public health (Healthy Lives, Healthy People: Our Strategy for Public Health November 2010)</w:t>
      </w:r>
      <w:r>
        <w:rPr>
          <w:rFonts w:cs="Arial"/>
          <w:color w:val="333333"/>
          <w:sz w:val="24"/>
          <w:szCs w:val="24"/>
          <w:shd w:val="clear" w:color="auto" w:fill="FFFFFF"/>
        </w:rPr>
        <w:t>.</w:t>
      </w:r>
    </w:p>
    <w:p w14:paraId="3CEDA157" w14:textId="77777777" w:rsidR="00427167" w:rsidRPr="00580BD2" w:rsidRDefault="00427167" w:rsidP="00427167">
      <w:pPr>
        <w:pStyle w:val="ListParagraph"/>
        <w:numPr>
          <w:ilvl w:val="0"/>
          <w:numId w:val="5"/>
        </w:numPr>
        <w:rPr>
          <w:rFonts w:cstheme="majorHAnsi"/>
          <w:sz w:val="24"/>
          <w:szCs w:val="24"/>
          <w:u w:val="single"/>
        </w:rPr>
      </w:pPr>
      <w:r>
        <w:rPr>
          <w:rFonts w:cs="Arial"/>
          <w:color w:val="333333"/>
          <w:sz w:val="24"/>
          <w:szCs w:val="24"/>
          <w:shd w:val="clear" w:color="auto" w:fill="FFFFFF"/>
        </w:rPr>
        <w:t>Infant mortality (</w:t>
      </w:r>
      <w:r w:rsidRPr="00580BD2">
        <w:rPr>
          <w:rFonts w:cs="Arial"/>
          <w:color w:val="333333"/>
          <w:sz w:val="24"/>
          <w:szCs w:val="24"/>
          <w:shd w:val="clear" w:color="auto" w:fill="FFFFFF"/>
        </w:rPr>
        <w:t>Infant deaths under 1 year of age per 1000 live births</w:t>
      </w:r>
      <w:r>
        <w:rPr>
          <w:rFonts w:cs="Arial"/>
          <w:color w:val="333333"/>
          <w:sz w:val="24"/>
          <w:szCs w:val="24"/>
          <w:shd w:val="clear" w:color="auto" w:fill="FFFFFF"/>
        </w:rPr>
        <w:t>) is s</w:t>
      </w:r>
      <w:r w:rsidRPr="00580BD2">
        <w:rPr>
          <w:rFonts w:cstheme="majorHAnsi"/>
          <w:sz w:val="24"/>
          <w:szCs w:val="24"/>
        </w:rPr>
        <w:t xml:space="preserve">ignificantly </w:t>
      </w:r>
      <w:r>
        <w:rPr>
          <w:rFonts w:cstheme="majorHAnsi"/>
          <w:sz w:val="24"/>
          <w:szCs w:val="24"/>
        </w:rPr>
        <w:t>higher for Sandwell</w:t>
      </w:r>
      <w:r w:rsidRPr="00580BD2">
        <w:rPr>
          <w:rFonts w:cstheme="majorHAnsi"/>
          <w:sz w:val="24"/>
          <w:szCs w:val="24"/>
        </w:rPr>
        <w:t xml:space="preserve"> than England</w:t>
      </w:r>
      <w:r>
        <w:rPr>
          <w:rFonts w:cstheme="majorHAnsi"/>
          <w:sz w:val="24"/>
          <w:szCs w:val="24"/>
        </w:rPr>
        <w:t>.</w:t>
      </w:r>
    </w:p>
    <w:p w14:paraId="035352E3" w14:textId="4ADCA3FC" w:rsidR="00427167" w:rsidRPr="00580BD2" w:rsidRDefault="00427167" w:rsidP="00427167">
      <w:pPr>
        <w:pStyle w:val="ListParagraph"/>
        <w:numPr>
          <w:ilvl w:val="0"/>
          <w:numId w:val="5"/>
        </w:numPr>
        <w:rPr>
          <w:rFonts w:cstheme="majorHAnsi"/>
          <w:sz w:val="24"/>
          <w:szCs w:val="24"/>
          <w:u w:val="single"/>
        </w:rPr>
      </w:pPr>
      <w:r w:rsidRPr="00580BD2">
        <w:rPr>
          <w:rFonts w:cstheme="majorHAnsi"/>
          <w:sz w:val="24"/>
          <w:szCs w:val="24"/>
        </w:rPr>
        <w:t>2</w:t>
      </w:r>
      <w:r w:rsidR="00417E9B">
        <w:rPr>
          <w:rFonts w:cstheme="majorHAnsi"/>
          <w:sz w:val="24"/>
          <w:szCs w:val="24"/>
        </w:rPr>
        <w:t>0</w:t>
      </w:r>
      <w:r w:rsidR="00CD1B66">
        <w:rPr>
          <w:rFonts w:cstheme="majorHAnsi"/>
          <w:sz w:val="24"/>
          <w:szCs w:val="24"/>
        </w:rPr>
        <w:t>20</w:t>
      </w:r>
      <w:r w:rsidRPr="00580BD2">
        <w:rPr>
          <w:rFonts w:cstheme="majorHAnsi"/>
          <w:sz w:val="24"/>
          <w:szCs w:val="24"/>
        </w:rPr>
        <w:t xml:space="preserve"> Sandwell </w:t>
      </w:r>
      <w:r w:rsidR="00417E9B">
        <w:rPr>
          <w:rFonts w:cstheme="majorHAnsi"/>
          <w:sz w:val="24"/>
          <w:szCs w:val="24"/>
        </w:rPr>
        <w:t>13.1</w:t>
      </w:r>
      <w:r>
        <w:rPr>
          <w:rFonts w:cstheme="majorHAnsi"/>
          <w:sz w:val="24"/>
          <w:szCs w:val="24"/>
        </w:rPr>
        <w:t xml:space="preserve"> per 1,000 live births</w:t>
      </w:r>
      <w:r w:rsidRPr="00580BD2">
        <w:rPr>
          <w:rFonts w:cstheme="majorHAnsi"/>
          <w:sz w:val="24"/>
          <w:szCs w:val="24"/>
        </w:rPr>
        <w:t xml:space="preserve">; England </w:t>
      </w:r>
      <w:r w:rsidR="00417E9B">
        <w:rPr>
          <w:rFonts w:cstheme="majorHAnsi"/>
          <w:sz w:val="24"/>
          <w:szCs w:val="24"/>
        </w:rPr>
        <w:t>10.</w:t>
      </w:r>
      <w:r w:rsidRPr="00580BD2">
        <w:rPr>
          <w:rFonts w:cstheme="majorHAnsi"/>
          <w:sz w:val="24"/>
          <w:szCs w:val="24"/>
        </w:rPr>
        <w:t xml:space="preserve">3; West Midlands </w:t>
      </w:r>
      <w:r w:rsidR="00417E9B">
        <w:rPr>
          <w:rFonts w:cstheme="majorHAnsi"/>
          <w:sz w:val="24"/>
          <w:szCs w:val="24"/>
        </w:rPr>
        <w:t>10.7</w:t>
      </w:r>
      <w:r>
        <w:rPr>
          <w:rFonts w:cstheme="majorHAnsi"/>
          <w:sz w:val="24"/>
          <w:szCs w:val="24"/>
        </w:rPr>
        <w:t>.</w:t>
      </w:r>
    </w:p>
    <w:p w14:paraId="2E9F7E7F" w14:textId="04110817" w:rsidR="00427167" w:rsidRPr="00580BD2" w:rsidRDefault="00427167" w:rsidP="00427167">
      <w:pPr>
        <w:pStyle w:val="ListParagraph"/>
        <w:numPr>
          <w:ilvl w:val="0"/>
          <w:numId w:val="5"/>
        </w:numPr>
        <w:rPr>
          <w:rFonts w:cstheme="majorHAnsi"/>
          <w:sz w:val="24"/>
          <w:szCs w:val="24"/>
          <w:u w:val="single"/>
        </w:rPr>
      </w:pPr>
      <w:r>
        <w:rPr>
          <w:rFonts w:cstheme="majorHAnsi"/>
          <w:sz w:val="24"/>
          <w:szCs w:val="24"/>
        </w:rPr>
        <w:t xml:space="preserve">Sandwell </w:t>
      </w:r>
      <w:r w:rsidR="00977468">
        <w:rPr>
          <w:rFonts w:cstheme="majorHAnsi"/>
          <w:sz w:val="24"/>
          <w:szCs w:val="24"/>
        </w:rPr>
        <w:t xml:space="preserve">currently </w:t>
      </w:r>
      <w:r>
        <w:rPr>
          <w:rFonts w:cstheme="majorHAnsi"/>
          <w:sz w:val="24"/>
          <w:szCs w:val="24"/>
        </w:rPr>
        <w:t xml:space="preserve">has the </w:t>
      </w:r>
      <w:r w:rsidR="00977468">
        <w:rPr>
          <w:rFonts w:cstheme="majorHAnsi"/>
          <w:sz w:val="24"/>
          <w:szCs w:val="24"/>
        </w:rPr>
        <w:t>h</w:t>
      </w:r>
      <w:r w:rsidRPr="00580BD2">
        <w:rPr>
          <w:rFonts w:cstheme="majorHAnsi"/>
          <w:sz w:val="24"/>
          <w:szCs w:val="24"/>
        </w:rPr>
        <w:t xml:space="preserve">ighest rate in </w:t>
      </w:r>
      <w:r w:rsidR="00977468">
        <w:rPr>
          <w:rFonts w:cstheme="majorHAnsi"/>
          <w:sz w:val="24"/>
          <w:szCs w:val="24"/>
        </w:rPr>
        <w:t>England</w:t>
      </w:r>
      <w:r>
        <w:rPr>
          <w:rFonts w:cstheme="majorHAnsi"/>
          <w:sz w:val="24"/>
          <w:szCs w:val="24"/>
        </w:rPr>
        <w:t>.</w:t>
      </w:r>
    </w:p>
    <w:p w14:paraId="37C4922D" w14:textId="77777777" w:rsidR="00427167" w:rsidRPr="00382351" w:rsidRDefault="00427167" w:rsidP="00427167">
      <w:pPr>
        <w:pStyle w:val="ListParagraph"/>
        <w:numPr>
          <w:ilvl w:val="0"/>
          <w:numId w:val="5"/>
        </w:numPr>
        <w:rPr>
          <w:rFonts w:cstheme="majorHAnsi"/>
          <w:sz w:val="24"/>
          <w:szCs w:val="24"/>
          <w:u w:val="single"/>
        </w:rPr>
      </w:pPr>
      <w:r w:rsidRPr="00580BD2">
        <w:rPr>
          <w:rFonts w:cstheme="majorHAnsi"/>
          <w:sz w:val="24"/>
          <w:szCs w:val="24"/>
        </w:rPr>
        <w:t>Deaths during the neonatal period (first 28 days) are the largest contributors to the infant mortality rate.</w:t>
      </w:r>
    </w:p>
    <w:p w14:paraId="0B289022" w14:textId="77777777" w:rsidR="00427167" w:rsidRDefault="00427167" w:rsidP="00427167">
      <w:pPr>
        <w:rPr>
          <w:rFonts w:cstheme="majorHAnsi"/>
          <w:sz w:val="24"/>
          <w:szCs w:val="24"/>
          <w:u w:val="single"/>
        </w:rPr>
      </w:pPr>
    </w:p>
    <w:p w14:paraId="2E2E1C47" w14:textId="77777777" w:rsidR="00427167" w:rsidRPr="00382351" w:rsidRDefault="00427167" w:rsidP="00427167">
      <w:pPr>
        <w:rPr>
          <w:rFonts w:cstheme="majorHAnsi"/>
          <w:b/>
          <w:sz w:val="24"/>
          <w:szCs w:val="24"/>
        </w:rPr>
      </w:pPr>
      <w:r w:rsidRPr="00382351">
        <w:rPr>
          <w:rFonts w:cstheme="majorHAnsi"/>
          <w:b/>
          <w:sz w:val="24"/>
          <w:szCs w:val="24"/>
        </w:rPr>
        <w:t>Figure 2.1</w:t>
      </w:r>
    </w:p>
    <w:p w14:paraId="39FFA4EA" w14:textId="71962B4E" w:rsidR="00427167" w:rsidRPr="00580BD2" w:rsidRDefault="00524E63" w:rsidP="00427167">
      <w:pPr>
        <w:rPr>
          <w:rFonts w:cstheme="majorHAnsi"/>
          <w:sz w:val="24"/>
          <w:szCs w:val="24"/>
          <w:u w:val="single"/>
        </w:rPr>
      </w:pPr>
      <w:r w:rsidRPr="00524E63">
        <w:rPr>
          <w:rFonts w:cstheme="majorHAnsi"/>
          <w:noProof/>
          <w:sz w:val="24"/>
          <w:szCs w:val="24"/>
        </w:rPr>
        <w:drawing>
          <wp:inline distT="0" distB="0" distL="0" distR="0" wp14:anchorId="0BA0260E" wp14:editId="33A60C07">
            <wp:extent cx="4117245" cy="252099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0447" cy="2522957"/>
                    </a:xfrm>
                    <a:prstGeom prst="rect">
                      <a:avLst/>
                    </a:prstGeom>
                    <a:noFill/>
                    <a:ln>
                      <a:noFill/>
                    </a:ln>
                  </pic:spPr>
                </pic:pic>
              </a:graphicData>
            </a:graphic>
          </wp:inline>
        </w:drawing>
      </w:r>
    </w:p>
    <w:p w14:paraId="1F6665AC" w14:textId="77777777" w:rsidR="00427167" w:rsidRPr="00580BD2" w:rsidRDefault="00427167" w:rsidP="00427167">
      <w:pPr>
        <w:rPr>
          <w:rFonts w:cstheme="majorHAnsi"/>
          <w:sz w:val="24"/>
          <w:szCs w:val="24"/>
        </w:rPr>
      </w:pPr>
      <w:r w:rsidRPr="00580BD2">
        <w:rPr>
          <w:rFonts w:cstheme="majorHAnsi"/>
          <w:b/>
          <w:sz w:val="24"/>
          <w:szCs w:val="24"/>
        </w:rPr>
        <w:t>Source:</w:t>
      </w:r>
      <w:r w:rsidRPr="00580BD2">
        <w:rPr>
          <w:rFonts w:cstheme="majorHAnsi"/>
          <w:sz w:val="24"/>
          <w:szCs w:val="24"/>
        </w:rPr>
        <w:t xml:space="preserve"> Public Health England Profiles</w:t>
      </w:r>
    </w:p>
    <w:p w14:paraId="365747F5" w14:textId="77777777" w:rsidR="00427167" w:rsidRPr="00580BD2" w:rsidRDefault="00427167" w:rsidP="005B1F6D">
      <w:pPr>
        <w:pStyle w:val="Heading2"/>
      </w:pPr>
      <w:r>
        <w:t>Neonatal and post-neonatal</w:t>
      </w:r>
      <w:r w:rsidRPr="00580BD2">
        <w:t xml:space="preserve"> mortality </w:t>
      </w:r>
    </w:p>
    <w:p w14:paraId="4D705EFD" w14:textId="6EC1BF1E" w:rsidR="00427167" w:rsidRPr="00580BD2" w:rsidRDefault="00427167" w:rsidP="00427167">
      <w:pPr>
        <w:rPr>
          <w:rFonts w:cs="Arial"/>
          <w:sz w:val="24"/>
          <w:szCs w:val="24"/>
        </w:rPr>
      </w:pPr>
      <w:r>
        <w:rPr>
          <w:rFonts w:cs="Arial"/>
          <w:sz w:val="24"/>
          <w:szCs w:val="24"/>
        </w:rPr>
        <w:t>I</w:t>
      </w:r>
      <w:r w:rsidRPr="00580BD2">
        <w:rPr>
          <w:rFonts w:cs="Arial"/>
          <w:sz w:val="24"/>
          <w:szCs w:val="24"/>
        </w:rPr>
        <w:t>n 201</w:t>
      </w:r>
      <w:r w:rsidR="00C50653">
        <w:rPr>
          <w:rFonts w:cs="Arial"/>
          <w:sz w:val="24"/>
          <w:szCs w:val="24"/>
        </w:rPr>
        <w:t>9</w:t>
      </w:r>
      <w:r w:rsidRPr="00580BD2">
        <w:rPr>
          <w:rFonts w:cs="Arial"/>
          <w:sz w:val="24"/>
          <w:szCs w:val="24"/>
        </w:rPr>
        <w:t>, post</w:t>
      </w:r>
      <w:r>
        <w:rPr>
          <w:rFonts w:cs="Arial"/>
          <w:sz w:val="24"/>
          <w:szCs w:val="24"/>
        </w:rPr>
        <w:t>-</w:t>
      </w:r>
      <w:r w:rsidRPr="00580BD2">
        <w:rPr>
          <w:rFonts w:cs="Arial"/>
          <w:sz w:val="24"/>
          <w:szCs w:val="24"/>
        </w:rPr>
        <w:t>neonatal</w:t>
      </w:r>
      <w:r w:rsidRPr="00580BD2">
        <w:rPr>
          <w:rFonts w:cs="Arial"/>
          <w:b/>
          <w:sz w:val="24"/>
          <w:szCs w:val="24"/>
        </w:rPr>
        <w:t xml:space="preserve"> </w:t>
      </w:r>
      <w:r w:rsidRPr="00382351">
        <w:rPr>
          <w:rFonts w:cs="Arial"/>
          <w:sz w:val="24"/>
          <w:szCs w:val="24"/>
        </w:rPr>
        <w:t>mortality</w:t>
      </w:r>
      <w:r>
        <w:rPr>
          <w:rFonts w:cs="Arial"/>
          <w:b/>
          <w:sz w:val="24"/>
          <w:szCs w:val="24"/>
        </w:rPr>
        <w:t xml:space="preserve"> </w:t>
      </w:r>
      <w:r w:rsidRPr="00580BD2">
        <w:rPr>
          <w:rFonts w:cs="Arial"/>
          <w:sz w:val="24"/>
          <w:szCs w:val="24"/>
        </w:rPr>
        <w:t>(</w:t>
      </w:r>
      <w:r>
        <w:rPr>
          <w:rFonts w:cs="Arial"/>
          <w:sz w:val="24"/>
          <w:szCs w:val="24"/>
        </w:rPr>
        <w:t>d</w:t>
      </w:r>
      <w:r w:rsidRPr="00580BD2">
        <w:rPr>
          <w:rFonts w:cs="Arial"/>
          <w:sz w:val="24"/>
          <w:szCs w:val="24"/>
        </w:rPr>
        <w:t xml:space="preserve">eaths between 28 days and 1 year) and </w:t>
      </w:r>
      <w:r>
        <w:rPr>
          <w:rFonts w:cs="Arial"/>
          <w:sz w:val="24"/>
          <w:szCs w:val="24"/>
        </w:rPr>
        <w:t>n</w:t>
      </w:r>
      <w:r w:rsidRPr="00580BD2">
        <w:rPr>
          <w:rFonts w:cs="Arial"/>
          <w:sz w:val="24"/>
          <w:szCs w:val="24"/>
        </w:rPr>
        <w:t xml:space="preserve">eonatal </w:t>
      </w:r>
      <w:r>
        <w:rPr>
          <w:rFonts w:cs="Arial"/>
          <w:sz w:val="24"/>
          <w:szCs w:val="24"/>
        </w:rPr>
        <w:t xml:space="preserve">mortality </w:t>
      </w:r>
      <w:r w:rsidRPr="00580BD2">
        <w:rPr>
          <w:rFonts w:cs="Arial"/>
          <w:sz w:val="24"/>
          <w:szCs w:val="24"/>
        </w:rPr>
        <w:t>(</w:t>
      </w:r>
      <w:r>
        <w:rPr>
          <w:rFonts w:cs="Arial"/>
          <w:sz w:val="24"/>
          <w:szCs w:val="24"/>
        </w:rPr>
        <w:t>d</w:t>
      </w:r>
      <w:r w:rsidRPr="00580BD2">
        <w:rPr>
          <w:rFonts w:cs="Arial"/>
          <w:sz w:val="24"/>
          <w:szCs w:val="24"/>
        </w:rPr>
        <w:t>eaths under 28 days)</w:t>
      </w:r>
      <w:r>
        <w:rPr>
          <w:rFonts w:cs="Arial"/>
          <w:sz w:val="24"/>
          <w:szCs w:val="24"/>
        </w:rPr>
        <w:t xml:space="preserve"> Sandwell</w:t>
      </w:r>
      <w:r w:rsidRPr="00580BD2">
        <w:rPr>
          <w:rFonts w:cs="Arial"/>
          <w:sz w:val="24"/>
          <w:szCs w:val="24"/>
        </w:rPr>
        <w:t xml:space="preserve"> w</w:t>
      </w:r>
      <w:r w:rsidR="00C50653">
        <w:rPr>
          <w:rFonts w:cs="Arial"/>
          <w:sz w:val="24"/>
          <w:szCs w:val="24"/>
        </w:rPr>
        <w:t>as</w:t>
      </w:r>
      <w:r w:rsidRPr="00580BD2">
        <w:rPr>
          <w:rFonts w:cs="Arial"/>
          <w:sz w:val="24"/>
          <w:szCs w:val="24"/>
        </w:rPr>
        <w:t xml:space="preserve"> higher than England </w:t>
      </w:r>
      <w:r w:rsidR="00C50653">
        <w:rPr>
          <w:rFonts w:cs="Arial"/>
          <w:sz w:val="24"/>
          <w:szCs w:val="24"/>
        </w:rPr>
        <w:t>but lower for</w:t>
      </w:r>
      <w:r w:rsidRPr="00580BD2">
        <w:rPr>
          <w:rFonts w:cs="Arial"/>
          <w:sz w:val="24"/>
          <w:szCs w:val="24"/>
        </w:rPr>
        <w:t xml:space="preserve"> West Midlands</w:t>
      </w:r>
      <w:r>
        <w:rPr>
          <w:rFonts w:cs="Arial"/>
          <w:sz w:val="24"/>
          <w:szCs w:val="24"/>
        </w:rPr>
        <w:t xml:space="preserve"> county </w:t>
      </w:r>
      <w:r w:rsidRPr="00580BD2">
        <w:rPr>
          <w:rFonts w:cs="Arial"/>
          <w:sz w:val="24"/>
          <w:szCs w:val="24"/>
        </w:rPr>
        <w:t xml:space="preserve">per 1,000 live births </w:t>
      </w:r>
      <w:r w:rsidR="00C50653">
        <w:rPr>
          <w:rFonts w:cs="Arial"/>
          <w:sz w:val="24"/>
          <w:szCs w:val="24"/>
        </w:rPr>
        <w:t xml:space="preserve">for Neo natal mortality </w:t>
      </w:r>
      <w:r w:rsidRPr="00580BD2">
        <w:rPr>
          <w:rFonts w:cs="Arial"/>
          <w:sz w:val="24"/>
          <w:szCs w:val="24"/>
        </w:rPr>
        <w:t xml:space="preserve">(Figure </w:t>
      </w:r>
      <w:r>
        <w:rPr>
          <w:rFonts w:cs="Arial"/>
          <w:sz w:val="24"/>
          <w:szCs w:val="24"/>
        </w:rPr>
        <w:t>2.</w:t>
      </w:r>
      <w:r w:rsidRPr="00580BD2">
        <w:rPr>
          <w:rFonts w:cs="Arial"/>
          <w:sz w:val="24"/>
          <w:szCs w:val="24"/>
        </w:rPr>
        <w:t>2).</w:t>
      </w:r>
      <w:r w:rsidR="00C50653">
        <w:rPr>
          <w:rFonts w:cs="Arial"/>
          <w:sz w:val="24"/>
          <w:szCs w:val="24"/>
        </w:rPr>
        <w:t xml:space="preserve"> For Postnatal mortality Sandwell was lower for both England and West Midlands</w:t>
      </w:r>
      <w:r w:rsidR="00BB76BB">
        <w:rPr>
          <w:rFonts w:cs="Arial"/>
          <w:sz w:val="24"/>
          <w:szCs w:val="24"/>
        </w:rPr>
        <w:t>.</w:t>
      </w:r>
    </w:p>
    <w:p w14:paraId="19CDE387" w14:textId="77777777" w:rsidR="00427167" w:rsidRPr="00580BD2" w:rsidRDefault="00427167" w:rsidP="00427167">
      <w:pPr>
        <w:rPr>
          <w:rFonts w:cs="Arial"/>
          <w:sz w:val="24"/>
          <w:szCs w:val="24"/>
        </w:rPr>
      </w:pPr>
    </w:p>
    <w:p w14:paraId="6C9080DF" w14:textId="7ED88593" w:rsidR="00427167" w:rsidRPr="00580BD2" w:rsidRDefault="00427167" w:rsidP="00427167">
      <w:pPr>
        <w:rPr>
          <w:rFonts w:cs="Arial"/>
          <w:b/>
          <w:sz w:val="24"/>
          <w:szCs w:val="24"/>
        </w:rPr>
      </w:pPr>
      <w:r w:rsidRPr="00580BD2">
        <w:rPr>
          <w:rFonts w:cs="Arial"/>
          <w:b/>
          <w:sz w:val="24"/>
          <w:szCs w:val="24"/>
        </w:rPr>
        <w:t xml:space="preserve">Figure </w:t>
      </w:r>
      <w:r>
        <w:rPr>
          <w:rFonts w:cs="Arial"/>
          <w:b/>
          <w:sz w:val="24"/>
          <w:szCs w:val="24"/>
        </w:rPr>
        <w:t>2.</w:t>
      </w:r>
      <w:r w:rsidRPr="00580BD2">
        <w:rPr>
          <w:rFonts w:cs="Arial"/>
          <w:b/>
          <w:sz w:val="24"/>
          <w:szCs w:val="24"/>
        </w:rPr>
        <w:t xml:space="preserve">2: Post </w:t>
      </w:r>
      <w:r>
        <w:rPr>
          <w:rFonts w:cs="Arial"/>
          <w:b/>
          <w:sz w:val="24"/>
          <w:szCs w:val="24"/>
        </w:rPr>
        <w:t>n</w:t>
      </w:r>
      <w:r w:rsidRPr="00580BD2">
        <w:rPr>
          <w:rFonts w:cs="Arial"/>
          <w:b/>
          <w:sz w:val="24"/>
          <w:szCs w:val="24"/>
        </w:rPr>
        <w:t xml:space="preserve">eonatal and </w:t>
      </w:r>
      <w:r>
        <w:rPr>
          <w:rFonts w:cs="Arial"/>
          <w:b/>
          <w:sz w:val="24"/>
          <w:szCs w:val="24"/>
        </w:rPr>
        <w:t>n</w:t>
      </w:r>
      <w:r w:rsidRPr="00580BD2">
        <w:rPr>
          <w:rFonts w:cs="Arial"/>
          <w:b/>
          <w:sz w:val="24"/>
          <w:szCs w:val="24"/>
        </w:rPr>
        <w:t xml:space="preserve">eonatal </w:t>
      </w:r>
      <w:r>
        <w:rPr>
          <w:rFonts w:cs="Arial"/>
          <w:b/>
          <w:sz w:val="24"/>
          <w:szCs w:val="24"/>
        </w:rPr>
        <w:t>M</w:t>
      </w:r>
      <w:r w:rsidRPr="00580BD2">
        <w:rPr>
          <w:rFonts w:cs="Arial"/>
          <w:b/>
          <w:sz w:val="24"/>
          <w:szCs w:val="24"/>
        </w:rPr>
        <w:t xml:space="preserve">ortality per 1,000 </w:t>
      </w:r>
      <w:r>
        <w:rPr>
          <w:rFonts w:cs="Arial"/>
          <w:b/>
          <w:sz w:val="24"/>
          <w:szCs w:val="24"/>
        </w:rPr>
        <w:t>l</w:t>
      </w:r>
      <w:r w:rsidRPr="00580BD2">
        <w:rPr>
          <w:rFonts w:cs="Arial"/>
          <w:b/>
          <w:sz w:val="24"/>
          <w:szCs w:val="24"/>
        </w:rPr>
        <w:t>ive births</w:t>
      </w:r>
      <w:r>
        <w:rPr>
          <w:rFonts w:cs="Arial"/>
          <w:b/>
          <w:sz w:val="24"/>
          <w:szCs w:val="24"/>
        </w:rPr>
        <w:t>:</w:t>
      </w:r>
      <w:r w:rsidRPr="00580BD2">
        <w:rPr>
          <w:rFonts w:cs="Arial"/>
          <w:b/>
          <w:sz w:val="24"/>
          <w:szCs w:val="24"/>
        </w:rPr>
        <w:t xml:space="preserve"> Sandwell,</w:t>
      </w:r>
      <w:r>
        <w:rPr>
          <w:rFonts w:cs="Arial"/>
          <w:b/>
          <w:sz w:val="24"/>
          <w:szCs w:val="24"/>
        </w:rPr>
        <w:t xml:space="preserve"> West Midlands and England 201</w:t>
      </w:r>
      <w:r w:rsidR="00BB76BB">
        <w:rPr>
          <w:rFonts w:cs="Arial"/>
          <w:b/>
          <w:sz w:val="24"/>
          <w:szCs w:val="24"/>
        </w:rPr>
        <w:t>9</w:t>
      </w:r>
    </w:p>
    <w:p w14:paraId="2810B9ED" w14:textId="296E01E7" w:rsidR="00427167" w:rsidRDefault="00BB76BB" w:rsidP="00427167">
      <w:pPr>
        <w:rPr>
          <w:noProof/>
          <w:sz w:val="24"/>
          <w:szCs w:val="24"/>
        </w:rPr>
      </w:pPr>
      <w:r>
        <w:rPr>
          <w:noProof/>
          <w:sz w:val="24"/>
          <w:szCs w:val="24"/>
        </w:rPr>
        <w:drawing>
          <wp:inline distT="0" distB="0" distL="0" distR="0" wp14:anchorId="7C712E8D" wp14:editId="13D0F02C">
            <wp:extent cx="4578350" cy="275590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r w:rsidR="00427167" w:rsidRPr="00580BD2">
        <w:rPr>
          <w:noProof/>
          <w:sz w:val="24"/>
          <w:szCs w:val="24"/>
        </w:rPr>
        <w:t xml:space="preserve"> </w:t>
      </w:r>
    </w:p>
    <w:p w14:paraId="24B96FF2" w14:textId="77777777" w:rsidR="00427167" w:rsidRPr="00580BD2" w:rsidRDefault="00427167" w:rsidP="00427167">
      <w:pPr>
        <w:rPr>
          <w:rFonts w:cstheme="majorHAnsi"/>
          <w:b/>
          <w:sz w:val="24"/>
          <w:szCs w:val="24"/>
          <w:u w:val="single"/>
        </w:rPr>
      </w:pPr>
      <w:r w:rsidRPr="00580BD2">
        <w:rPr>
          <w:rFonts w:cs="Arial"/>
          <w:sz w:val="24"/>
          <w:szCs w:val="24"/>
        </w:rPr>
        <w:t>Source: Office for National Statistics</w:t>
      </w:r>
    </w:p>
    <w:p w14:paraId="79086F40" w14:textId="5AFF12FD" w:rsidR="00427167" w:rsidRPr="00D73896" w:rsidRDefault="003F2C00" w:rsidP="00D73896">
      <w:pPr>
        <w:rPr>
          <w:sz w:val="24"/>
          <w:szCs w:val="24"/>
        </w:rPr>
      </w:pPr>
      <w:bookmarkStart w:id="11" w:name="_Hlk13839046"/>
      <w:r>
        <w:rPr>
          <w:sz w:val="24"/>
          <w:szCs w:val="24"/>
        </w:rPr>
        <w:t xml:space="preserve">In 2019 </w:t>
      </w:r>
      <w:r w:rsidR="00427167" w:rsidRPr="00D73896">
        <w:rPr>
          <w:sz w:val="24"/>
          <w:szCs w:val="24"/>
        </w:rPr>
        <w:t xml:space="preserve">Sandwell </w:t>
      </w:r>
      <w:r>
        <w:rPr>
          <w:sz w:val="24"/>
          <w:szCs w:val="24"/>
        </w:rPr>
        <w:t>(3.6)</w:t>
      </w:r>
      <w:r w:rsidR="00427167" w:rsidRPr="00D73896">
        <w:rPr>
          <w:sz w:val="24"/>
          <w:szCs w:val="24"/>
        </w:rPr>
        <w:t xml:space="preserve"> ha</w:t>
      </w:r>
      <w:r>
        <w:rPr>
          <w:sz w:val="24"/>
          <w:szCs w:val="24"/>
        </w:rPr>
        <w:t>d</w:t>
      </w:r>
      <w:r w:rsidR="00427167" w:rsidRPr="00D73896">
        <w:rPr>
          <w:sz w:val="24"/>
          <w:szCs w:val="24"/>
        </w:rPr>
        <w:t xml:space="preserve"> the </w:t>
      </w:r>
      <w:bookmarkEnd w:id="11"/>
      <w:r>
        <w:rPr>
          <w:sz w:val="24"/>
          <w:szCs w:val="24"/>
        </w:rPr>
        <w:t>2nd</w:t>
      </w:r>
      <w:r w:rsidR="00427167" w:rsidRPr="00D73896">
        <w:rPr>
          <w:sz w:val="24"/>
          <w:szCs w:val="24"/>
        </w:rPr>
        <w:t xml:space="preserve"> highest neonatal mortality rate in the West Midlands following Birmingham (</w:t>
      </w:r>
      <w:r>
        <w:rPr>
          <w:sz w:val="24"/>
          <w:szCs w:val="24"/>
        </w:rPr>
        <w:t>5.</w:t>
      </w:r>
      <w:r w:rsidR="00427167" w:rsidRPr="00D73896">
        <w:rPr>
          <w:sz w:val="24"/>
          <w:szCs w:val="24"/>
        </w:rPr>
        <w:t>6), and is significantly higher than the England average.</w:t>
      </w:r>
    </w:p>
    <w:p w14:paraId="53A0F05F" w14:textId="77777777" w:rsidR="00427167" w:rsidRPr="00897C18" w:rsidRDefault="00427167" w:rsidP="00427167">
      <w:pPr>
        <w:rPr>
          <w:b/>
          <w:sz w:val="24"/>
          <w:szCs w:val="24"/>
        </w:rPr>
      </w:pPr>
      <w:r w:rsidRPr="00897C18">
        <w:rPr>
          <w:b/>
          <w:sz w:val="24"/>
          <w:szCs w:val="24"/>
        </w:rPr>
        <w:t>Figure</w:t>
      </w:r>
      <w:r>
        <w:rPr>
          <w:b/>
          <w:sz w:val="24"/>
          <w:szCs w:val="24"/>
        </w:rPr>
        <w:t xml:space="preserve"> </w:t>
      </w:r>
      <w:r w:rsidRPr="00897C18">
        <w:rPr>
          <w:b/>
          <w:sz w:val="24"/>
          <w:szCs w:val="24"/>
        </w:rPr>
        <w:t>2.3</w:t>
      </w:r>
    </w:p>
    <w:p w14:paraId="60324BBE" w14:textId="1EB11C60" w:rsidR="00427167" w:rsidRDefault="007B23ED" w:rsidP="00427167">
      <w:pPr>
        <w:rPr>
          <w:rFonts w:cstheme="majorHAnsi"/>
          <w:b/>
          <w:sz w:val="24"/>
          <w:szCs w:val="24"/>
        </w:rPr>
      </w:pPr>
      <w:r w:rsidRPr="007B23ED">
        <w:rPr>
          <w:rFonts w:cstheme="majorHAnsi"/>
          <w:b/>
          <w:noProof/>
          <w:sz w:val="24"/>
          <w:szCs w:val="24"/>
        </w:rPr>
        <w:drawing>
          <wp:inline distT="0" distB="0" distL="0" distR="0" wp14:anchorId="1834B0E2" wp14:editId="4CB100EF">
            <wp:extent cx="4132695" cy="2514518"/>
            <wp:effectExtent l="0" t="0" r="127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70990" cy="2537818"/>
                    </a:xfrm>
                    <a:prstGeom prst="rect">
                      <a:avLst/>
                    </a:prstGeom>
                  </pic:spPr>
                </pic:pic>
              </a:graphicData>
            </a:graphic>
          </wp:inline>
        </w:drawing>
      </w:r>
    </w:p>
    <w:p w14:paraId="0490B30F" w14:textId="77777777" w:rsidR="00427167" w:rsidRPr="00580BD2" w:rsidRDefault="00427167" w:rsidP="00427167">
      <w:pPr>
        <w:rPr>
          <w:rFonts w:cstheme="majorHAnsi"/>
          <w:b/>
          <w:sz w:val="24"/>
          <w:szCs w:val="24"/>
          <w:u w:val="single"/>
        </w:rPr>
      </w:pPr>
      <w:r w:rsidRPr="00580BD2">
        <w:rPr>
          <w:rFonts w:cstheme="majorHAnsi"/>
          <w:b/>
          <w:sz w:val="24"/>
          <w:szCs w:val="24"/>
        </w:rPr>
        <w:t>Source:</w:t>
      </w:r>
      <w:r w:rsidRPr="00580BD2">
        <w:rPr>
          <w:rFonts w:cstheme="majorHAnsi"/>
          <w:sz w:val="24"/>
          <w:szCs w:val="24"/>
        </w:rPr>
        <w:t xml:space="preserve"> Public Health England Profiles</w:t>
      </w:r>
    </w:p>
    <w:p w14:paraId="3E3203AB" w14:textId="77777777" w:rsidR="00427167" w:rsidRPr="00580BD2" w:rsidRDefault="00427167" w:rsidP="00427167">
      <w:pPr>
        <w:rPr>
          <w:rFonts w:cstheme="majorHAnsi"/>
          <w:sz w:val="24"/>
          <w:szCs w:val="24"/>
          <w:u w:val="single"/>
        </w:rPr>
      </w:pPr>
      <w:r>
        <w:rPr>
          <w:rFonts w:cs="Arial"/>
          <w:sz w:val="24"/>
          <w:szCs w:val="24"/>
        </w:rPr>
        <w:t>For p</w:t>
      </w:r>
      <w:r w:rsidRPr="00580BD2">
        <w:rPr>
          <w:rFonts w:cs="Arial"/>
          <w:sz w:val="24"/>
          <w:szCs w:val="24"/>
        </w:rPr>
        <w:t>ost</w:t>
      </w:r>
      <w:r>
        <w:rPr>
          <w:rFonts w:cs="Arial"/>
          <w:sz w:val="24"/>
          <w:szCs w:val="24"/>
        </w:rPr>
        <w:t>-neo</w:t>
      </w:r>
      <w:r w:rsidRPr="00580BD2">
        <w:rPr>
          <w:rFonts w:cs="Arial"/>
          <w:sz w:val="24"/>
          <w:szCs w:val="24"/>
        </w:rPr>
        <w:t>natal mortality</w:t>
      </w:r>
      <w:r>
        <w:rPr>
          <w:rFonts w:cs="Arial"/>
          <w:sz w:val="24"/>
          <w:szCs w:val="24"/>
        </w:rPr>
        <w:t xml:space="preserve">, </w:t>
      </w:r>
      <w:r w:rsidRPr="00580BD2">
        <w:rPr>
          <w:rFonts w:cstheme="majorHAnsi"/>
          <w:sz w:val="24"/>
          <w:szCs w:val="24"/>
        </w:rPr>
        <w:t>Sandwell has a similar rate to England</w:t>
      </w:r>
      <w:r>
        <w:rPr>
          <w:rFonts w:cstheme="majorHAnsi"/>
          <w:sz w:val="24"/>
          <w:szCs w:val="24"/>
        </w:rPr>
        <w:t>.</w:t>
      </w:r>
    </w:p>
    <w:p w14:paraId="1FC379F6" w14:textId="1EAEB3D3" w:rsidR="00427167" w:rsidRPr="00580BD2" w:rsidRDefault="00427167" w:rsidP="00427167">
      <w:pPr>
        <w:pStyle w:val="ListParagraph"/>
        <w:numPr>
          <w:ilvl w:val="0"/>
          <w:numId w:val="5"/>
        </w:numPr>
        <w:rPr>
          <w:rFonts w:cstheme="majorHAnsi"/>
          <w:sz w:val="24"/>
          <w:szCs w:val="24"/>
          <w:u w:val="single"/>
        </w:rPr>
      </w:pPr>
      <w:r>
        <w:rPr>
          <w:rFonts w:cstheme="majorHAnsi"/>
          <w:sz w:val="24"/>
          <w:szCs w:val="24"/>
        </w:rPr>
        <w:t xml:space="preserve">In </w:t>
      </w:r>
      <w:r w:rsidRPr="00580BD2">
        <w:rPr>
          <w:rFonts w:cstheme="majorHAnsi"/>
          <w:sz w:val="24"/>
          <w:szCs w:val="24"/>
        </w:rPr>
        <w:t>201</w:t>
      </w:r>
      <w:r w:rsidR="007B23ED">
        <w:rPr>
          <w:rFonts w:cstheme="majorHAnsi"/>
          <w:sz w:val="24"/>
          <w:szCs w:val="24"/>
        </w:rPr>
        <w:t>8</w:t>
      </w:r>
      <w:r w:rsidRPr="00580BD2">
        <w:rPr>
          <w:rFonts w:cstheme="majorHAnsi"/>
          <w:sz w:val="24"/>
          <w:szCs w:val="24"/>
        </w:rPr>
        <w:t>-</w:t>
      </w:r>
      <w:r w:rsidR="007B23ED">
        <w:rPr>
          <w:rFonts w:cstheme="majorHAnsi"/>
          <w:sz w:val="24"/>
          <w:szCs w:val="24"/>
        </w:rPr>
        <w:t>20</w:t>
      </w:r>
      <w:r w:rsidRPr="00580BD2">
        <w:rPr>
          <w:rFonts w:cstheme="majorHAnsi"/>
          <w:sz w:val="24"/>
          <w:szCs w:val="24"/>
        </w:rPr>
        <w:t xml:space="preserve"> </w:t>
      </w:r>
      <w:r>
        <w:rPr>
          <w:rFonts w:cstheme="majorHAnsi"/>
          <w:sz w:val="24"/>
          <w:szCs w:val="24"/>
        </w:rPr>
        <w:t xml:space="preserve">the </w:t>
      </w:r>
      <w:r w:rsidRPr="00580BD2">
        <w:rPr>
          <w:rFonts w:cstheme="majorHAnsi"/>
          <w:sz w:val="24"/>
          <w:szCs w:val="24"/>
        </w:rPr>
        <w:t xml:space="preserve">Sandwell </w:t>
      </w:r>
      <w:r>
        <w:rPr>
          <w:rFonts w:cstheme="majorHAnsi"/>
          <w:sz w:val="24"/>
          <w:szCs w:val="24"/>
        </w:rPr>
        <w:t xml:space="preserve">rate of </w:t>
      </w:r>
      <w:r w:rsidRPr="00580BD2">
        <w:rPr>
          <w:rFonts w:cstheme="majorHAnsi"/>
          <w:sz w:val="24"/>
          <w:szCs w:val="24"/>
        </w:rPr>
        <w:t>1.4</w:t>
      </w:r>
      <w:r w:rsidR="00283FD8">
        <w:rPr>
          <w:rFonts w:cstheme="majorHAnsi"/>
          <w:sz w:val="24"/>
          <w:szCs w:val="24"/>
        </w:rPr>
        <w:t>0</w:t>
      </w:r>
      <w:r>
        <w:rPr>
          <w:rFonts w:cstheme="majorHAnsi"/>
          <w:sz w:val="24"/>
          <w:szCs w:val="24"/>
        </w:rPr>
        <w:t xml:space="preserve"> per 1,000 live births compares with </w:t>
      </w:r>
      <w:r w:rsidRPr="00580BD2">
        <w:rPr>
          <w:rFonts w:cstheme="majorHAnsi"/>
          <w:sz w:val="24"/>
          <w:szCs w:val="24"/>
        </w:rPr>
        <w:t xml:space="preserve">England </w:t>
      </w:r>
      <w:r>
        <w:rPr>
          <w:rFonts w:cstheme="majorHAnsi"/>
          <w:sz w:val="24"/>
          <w:szCs w:val="24"/>
        </w:rPr>
        <w:t>(</w:t>
      </w:r>
      <w:r w:rsidRPr="00580BD2">
        <w:rPr>
          <w:rFonts w:cstheme="majorHAnsi"/>
          <w:sz w:val="24"/>
          <w:szCs w:val="24"/>
        </w:rPr>
        <w:t>1.1</w:t>
      </w:r>
      <w:r w:rsidR="00283FD8">
        <w:rPr>
          <w:rFonts w:cstheme="majorHAnsi"/>
          <w:sz w:val="24"/>
          <w:szCs w:val="24"/>
        </w:rPr>
        <w:t>0</w:t>
      </w:r>
      <w:r>
        <w:rPr>
          <w:rFonts w:cstheme="majorHAnsi"/>
          <w:sz w:val="24"/>
          <w:szCs w:val="24"/>
        </w:rPr>
        <w:t xml:space="preserve">) and </w:t>
      </w:r>
      <w:r w:rsidRPr="00580BD2">
        <w:rPr>
          <w:rFonts w:cstheme="majorHAnsi"/>
          <w:sz w:val="24"/>
          <w:szCs w:val="24"/>
        </w:rPr>
        <w:t xml:space="preserve">West Midlands </w:t>
      </w:r>
      <w:r>
        <w:rPr>
          <w:rFonts w:cstheme="majorHAnsi"/>
          <w:sz w:val="24"/>
          <w:szCs w:val="24"/>
        </w:rPr>
        <w:t>(</w:t>
      </w:r>
      <w:r w:rsidRPr="00580BD2">
        <w:rPr>
          <w:rFonts w:cstheme="majorHAnsi"/>
          <w:sz w:val="24"/>
          <w:szCs w:val="24"/>
        </w:rPr>
        <w:t>1.</w:t>
      </w:r>
      <w:r w:rsidR="00283FD8">
        <w:rPr>
          <w:rFonts w:cstheme="majorHAnsi"/>
          <w:sz w:val="24"/>
          <w:szCs w:val="24"/>
        </w:rPr>
        <w:t>30</w:t>
      </w:r>
      <w:r>
        <w:rPr>
          <w:rFonts w:cstheme="majorHAnsi"/>
          <w:sz w:val="24"/>
          <w:szCs w:val="24"/>
        </w:rPr>
        <w:t>).</w:t>
      </w:r>
    </w:p>
    <w:p w14:paraId="292A86BE" w14:textId="50FAE4B5" w:rsidR="00427167" w:rsidRPr="00CC2A61" w:rsidRDefault="00427167" w:rsidP="00427167">
      <w:pPr>
        <w:pStyle w:val="ListParagraph"/>
        <w:numPr>
          <w:ilvl w:val="0"/>
          <w:numId w:val="5"/>
        </w:numPr>
        <w:rPr>
          <w:rFonts w:cstheme="majorHAnsi"/>
          <w:sz w:val="24"/>
          <w:szCs w:val="24"/>
          <w:u w:val="single"/>
        </w:rPr>
      </w:pPr>
      <w:r w:rsidRPr="00580BD2">
        <w:rPr>
          <w:rFonts w:cs="Arial"/>
          <w:sz w:val="24"/>
          <w:szCs w:val="24"/>
        </w:rPr>
        <w:t>Since 20</w:t>
      </w:r>
      <w:r w:rsidR="00296C3F">
        <w:rPr>
          <w:rFonts w:cs="Arial"/>
          <w:sz w:val="24"/>
          <w:szCs w:val="24"/>
        </w:rPr>
        <w:t>16</w:t>
      </w:r>
      <w:r w:rsidRPr="00580BD2">
        <w:rPr>
          <w:rFonts w:cs="Arial"/>
          <w:sz w:val="24"/>
          <w:szCs w:val="24"/>
        </w:rPr>
        <w:t>/1</w:t>
      </w:r>
      <w:r w:rsidR="00296C3F">
        <w:rPr>
          <w:rFonts w:cs="Arial"/>
          <w:sz w:val="24"/>
          <w:szCs w:val="24"/>
        </w:rPr>
        <w:t>8</w:t>
      </w:r>
      <w:r w:rsidRPr="00580BD2">
        <w:rPr>
          <w:rFonts w:cs="Arial"/>
          <w:sz w:val="24"/>
          <w:szCs w:val="24"/>
        </w:rPr>
        <w:t xml:space="preserve"> the rate of post-neonatal mortality has </w:t>
      </w:r>
      <w:r w:rsidR="00296C3F">
        <w:rPr>
          <w:rFonts w:cs="Arial"/>
          <w:sz w:val="24"/>
          <w:szCs w:val="24"/>
        </w:rPr>
        <w:t>decreased</w:t>
      </w:r>
      <w:r>
        <w:rPr>
          <w:rFonts w:cs="Arial"/>
          <w:sz w:val="24"/>
          <w:szCs w:val="24"/>
        </w:rPr>
        <w:t xml:space="preserve">, </w:t>
      </w:r>
      <w:r w:rsidR="00296C3F">
        <w:rPr>
          <w:rFonts w:cs="Arial"/>
          <w:sz w:val="24"/>
          <w:szCs w:val="24"/>
        </w:rPr>
        <w:t>from 2</w:t>
      </w:r>
      <w:r w:rsidRPr="00580BD2">
        <w:rPr>
          <w:rFonts w:cs="Arial"/>
          <w:sz w:val="24"/>
          <w:szCs w:val="24"/>
        </w:rPr>
        <w:t xml:space="preserve"> to 1.</w:t>
      </w:r>
      <w:r w:rsidR="00296C3F">
        <w:rPr>
          <w:rFonts w:cs="Arial"/>
          <w:sz w:val="24"/>
          <w:szCs w:val="24"/>
        </w:rPr>
        <w:t>4</w:t>
      </w:r>
      <w:r w:rsidRPr="00580BD2">
        <w:rPr>
          <w:rFonts w:cs="Arial"/>
          <w:sz w:val="24"/>
          <w:szCs w:val="24"/>
        </w:rPr>
        <w:t xml:space="preserve"> per </w:t>
      </w:r>
      <w:r w:rsidR="00296C3F">
        <w:rPr>
          <w:rFonts w:cs="Arial"/>
          <w:sz w:val="24"/>
          <w:szCs w:val="24"/>
        </w:rPr>
        <w:t>1,000</w:t>
      </w:r>
      <w:r w:rsidRPr="00580BD2">
        <w:rPr>
          <w:rFonts w:cs="Arial"/>
          <w:sz w:val="24"/>
          <w:szCs w:val="24"/>
        </w:rPr>
        <w:t xml:space="preserve"> live births in 20</w:t>
      </w:r>
      <w:r w:rsidR="00296C3F">
        <w:rPr>
          <w:rFonts w:cs="Arial"/>
          <w:sz w:val="24"/>
          <w:szCs w:val="24"/>
        </w:rPr>
        <w:t>18-20</w:t>
      </w:r>
      <w:r w:rsidRPr="00580BD2">
        <w:rPr>
          <w:rFonts w:cs="Arial"/>
          <w:sz w:val="24"/>
          <w:szCs w:val="24"/>
        </w:rPr>
        <w:t xml:space="preserve">. </w:t>
      </w:r>
    </w:p>
    <w:p w14:paraId="5F7FFF96" w14:textId="77777777" w:rsidR="00427167" w:rsidRDefault="00427167" w:rsidP="00427167">
      <w:pPr>
        <w:rPr>
          <w:rFonts w:cstheme="majorHAnsi"/>
          <w:sz w:val="24"/>
          <w:szCs w:val="24"/>
          <w:u w:val="single"/>
        </w:rPr>
      </w:pPr>
    </w:p>
    <w:p w14:paraId="4C7D1228" w14:textId="77777777" w:rsidR="00427167" w:rsidRPr="007E5580" w:rsidRDefault="00427167" w:rsidP="00427167">
      <w:pPr>
        <w:rPr>
          <w:rFonts w:cstheme="majorHAnsi"/>
          <w:b/>
          <w:sz w:val="24"/>
          <w:szCs w:val="24"/>
        </w:rPr>
      </w:pPr>
      <w:r w:rsidRPr="007E5580">
        <w:rPr>
          <w:rFonts w:cstheme="majorHAnsi"/>
          <w:b/>
          <w:sz w:val="24"/>
          <w:szCs w:val="24"/>
        </w:rPr>
        <w:t>Figure 2.4</w:t>
      </w:r>
    </w:p>
    <w:p w14:paraId="752E5B40" w14:textId="1E2E3188" w:rsidR="00427167" w:rsidRPr="00580BD2" w:rsidRDefault="00BD4DE6" w:rsidP="00427167">
      <w:pPr>
        <w:pStyle w:val="Subtitle"/>
        <w:jc w:val="both"/>
        <w:rPr>
          <w:rFonts w:asciiTheme="minorHAnsi" w:hAnsiTheme="minorHAnsi"/>
          <w:sz w:val="24"/>
        </w:rPr>
      </w:pPr>
      <w:r w:rsidRPr="00BD4DE6">
        <w:rPr>
          <w:rFonts w:asciiTheme="minorHAnsi" w:hAnsiTheme="minorHAnsi"/>
          <w:noProof/>
          <w:sz w:val="24"/>
        </w:rPr>
        <w:drawing>
          <wp:inline distT="0" distB="0" distL="0" distR="0" wp14:anchorId="4443FA52" wp14:editId="3DEB7104">
            <wp:extent cx="3899028" cy="2481200"/>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31101" cy="2501610"/>
                    </a:xfrm>
                    <a:prstGeom prst="rect">
                      <a:avLst/>
                    </a:prstGeom>
                  </pic:spPr>
                </pic:pic>
              </a:graphicData>
            </a:graphic>
          </wp:inline>
        </w:drawing>
      </w:r>
    </w:p>
    <w:p w14:paraId="0E6F9479" w14:textId="77777777" w:rsidR="00427167" w:rsidRPr="00580BD2" w:rsidRDefault="00427167" w:rsidP="00427167">
      <w:pPr>
        <w:rPr>
          <w:rFonts w:cstheme="majorHAnsi"/>
          <w:b/>
          <w:sz w:val="24"/>
          <w:szCs w:val="24"/>
          <w:u w:val="single"/>
        </w:rPr>
      </w:pPr>
      <w:r w:rsidRPr="00580BD2">
        <w:rPr>
          <w:rFonts w:cstheme="majorHAnsi"/>
          <w:b/>
          <w:sz w:val="24"/>
          <w:szCs w:val="24"/>
        </w:rPr>
        <w:t>Source:</w:t>
      </w:r>
      <w:r w:rsidRPr="00580BD2">
        <w:rPr>
          <w:rFonts w:cstheme="majorHAnsi"/>
          <w:sz w:val="24"/>
          <w:szCs w:val="24"/>
        </w:rPr>
        <w:t xml:space="preserve"> Public Health England Profiles</w:t>
      </w:r>
    </w:p>
    <w:p w14:paraId="2BED7C11" w14:textId="77777777" w:rsidR="00427167" w:rsidRDefault="00427167" w:rsidP="005B1F6D">
      <w:pPr>
        <w:pStyle w:val="Heading2"/>
      </w:pPr>
      <w:bookmarkStart w:id="12" w:name="_Hlk13839137"/>
      <w:r w:rsidRPr="00E93AFC">
        <w:t>Breastfeeding</w:t>
      </w:r>
    </w:p>
    <w:p w14:paraId="50BD5517" w14:textId="77777777" w:rsidR="00427167" w:rsidRPr="001D7F9E" w:rsidRDefault="00427167" w:rsidP="00427167">
      <w:pPr>
        <w:pStyle w:val="NormalWeb"/>
        <w:rPr>
          <w:rFonts w:asciiTheme="minorHAnsi" w:hAnsiTheme="minorHAnsi" w:cstheme="minorHAnsi"/>
          <w:color w:val="212B32"/>
          <w:lang w:val="en"/>
        </w:rPr>
      </w:pPr>
      <w:r w:rsidRPr="001D7F9E">
        <w:rPr>
          <w:rFonts w:asciiTheme="minorHAnsi" w:hAnsiTheme="minorHAnsi" w:cstheme="minorHAnsi"/>
          <w:color w:val="212B32"/>
          <w:lang w:val="en"/>
        </w:rPr>
        <w:t xml:space="preserve">Breastfeeding has long-term benefits for </w:t>
      </w:r>
      <w:r>
        <w:rPr>
          <w:rFonts w:asciiTheme="minorHAnsi" w:hAnsiTheme="minorHAnsi" w:cstheme="minorHAnsi"/>
          <w:color w:val="212B32"/>
          <w:lang w:val="en"/>
        </w:rPr>
        <w:t>a</w:t>
      </w:r>
      <w:r w:rsidRPr="001D7F9E">
        <w:rPr>
          <w:rFonts w:asciiTheme="minorHAnsi" w:hAnsiTheme="minorHAnsi" w:cstheme="minorHAnsi"/>
          <w:color w:val="212B32"/>
          <w:lang w:val="en"/>
        </w:rPr>
        <w:t xml:space="preserve"> baby, lasting right into adulthood.</w:t>
      </w:r>
      <w:r>
        <w:rPr>
          <w:rFonts w:asciiTheme="minorHAnsi" w:hAnsiTheme="minorHAnsi" w:cstheme="minorHAnsi"/>
          <w:color w:val="212B32"/>
          <w:lang w:val="en"/>
        </w:rPr>
        <w:t xml:space="preserve"> </w:t>
      </w:r>
      <w:r w:rsidRPr="001D7F9E">
        <w:rPr>
          <w:rFonts w:asciiTheme="minorHAnsi" w:hAnsiTheme="minorHAnsi" w:cstheme="minorHAnsi"/>
          <w:color w:val="212B32"/>
          <w:lang w:val="en"/>
        </w:rPr>
        <w:t>Any amount of breast milk has a positive effect</w:t>
      </w:r>
      <w:r>
        <w:rPr>
          <w:rFonts w:asciiTheme="minorHAnsi" w:hAnsiTheme="minorHAnsi" w:cstheme="minorHAnsi"/>
          <w:color w:val="212B32"/>
          <w:lang w:val="en"/>
        </w:rPr>
        <w:t>, and t</w:t>
      </w:r>
      <w:r w:rsidRPr="001D7F9E">
        <w:rPr>
          <w:rFonts w:asciiTheme="minorHAnsi" w:hAnsiTheme="minorHAnsi" w:cstheme="minorHAnsi"/>
          <w:color w:val="212B32"/>
          <w:lang w:val="en"/>
        </w:rPr>
        <w:t xml:space="preserve">he longer </w:t>
      </w:r>
      <w:r>
        <w:rPr>
          <w:rFonts w:asciiTheme="minorHAnsi" w:hAnsiTheme="minorHAnsi" w:cstheme="minorHAnsi"/>
          <w:color w:val="212B32"/>
          <w:lang w:val="en"/>
        </w:rPr>
        <w:t>a mother</w:t>
      </w:r>
      <w:r w:rsidRPr="001D7F9E">
        <w:rPr>
          <w:rFonts w:asciiTheme="minorHAnsi" w:hAnsiTheme="minorHAnsi" w:cstheme="minorHAnsi"/>
          <w:color w:val="212B32"/>
          <w:lang w:val="en"/>
        </w:rPr>
        <w:t xml:space="preserve"> breastfeed</w:t>
      </w:r>
      <w:r>
        <w:rPr>
          <w:rFonts w:asciiTheme="minorHAnsi" w:hAnsiTheme="minorHAnsi" w:cstheme="minorHAnsi"/>
          <w:color w:val="212B32"/>
          <w:lang w:val="en"/>
        </w:rPr>
        <w:t>s</w:t>
      </w:r>
      <w:r w:rsidRPr="001D7F9E">
        <w:rPr>
          <w:rFonts w:asciiTheme="minorHAnsi" w:hAnsiTheme="minorHAnsi" w:cstheme="minorHAnsi"/>
          <w:color w:val="212B32"/>
          <w:lang w:val="en"/>
        </w:rPr>
        <w:t xml:space="preserve">, the longer the protection lasts and the greater the benefits. </w:t>
      </w:r>
    </w:p>
    <w:p w14:paraId="0A76470C" w14:textId="77777777" w:rsidR="00427167" w:rsidRPr="001D7F9E" w:rsidRDefault="00427167" w:rsidP="00427167">
      <w:pPr>
        <w:pStyle w:val="NormalWeb"/>
        <w:rPr>
          <w:rFonts w:asciiTheme="minorHAnsi" w:hAnsiTheme="minorHAnsi" w:cstheme="minorHAnsi"/>
          <w:color w:val="212B32"/>
          <w:lang w:val="en"/>
        </w:rPr>
      </w:pPr>
      <w:r w:rsidRPr="001D7F9E">
        <w:rPr>
          <w:rFonts w:asciiTheme="minorHAnsi" w:hAnsiTheme="minorHAnsi" w:cstheme="minorHAnsi"/>
          <w:color w:val="212B32"/>
          <w:lang w:val="en"/>
        </w:rPr>
        <w:t xml:space="preserve">Breastfeeding reduces </w:t>
      </w:r>
      <w:r>
        <w:rPr>
          <w:rFonts w:asciiTheme="minorHAnsi" w:hAnsiTheme="minorHAnsi" w:cstheme="minorHAnsi"/>
          <w:color w:val="212B32"/>
          <w:lang w:val="en"/>
        </w:rPr>
        <w:t>a</w:t>
      </w:r>
      <w:r w:rsidRPr="001D7F9E">
        <w:rPr>
          <w:rFonts w:asciiTheme="minorHAnsi" w:hAnsiTheme="minorHAnsi" w:cstheme="minorHAnsi"/>
          <w:color w:val="212B32"/>
          <w:lang w:val="en"/>
        </w:rPr>
        <w:t xml:space="preserve"> baby's risk of:</w:t>
      </w:r>
    </w:p>
    <w:p w14:paraId="76905C37" w14:textId="77777777" w:rsidR="00427167" w:rsidRPr="001D7F9E" w:rsidRDefault="00427167" w:rsidP="00B13D4A">
      <w:pPr>
        <w:numPr>
          <w:ilvl w:val="0"/>
          <w:numId w:val="19"/>
        </w:numPr>
        <w:spacing w:before="100" w:beforeAutospacing="1" w:after="100" w:afterAutospacing="1" w:line="240" w:lineRule="auto"/>
        <w:rPr>
          <w:rFonts w:cstheme="minorHAnsi"/>
          <w:color w:val="212B32"/>
          <w:sz w:val="24"/>
          <w:szCs w:val="24"/>
          <w:lang w:val="en"/>
        </w:rPr>
      </w:pPr>
      <w:r w:rsidRPr="001D7F9E">
        <w:rPr>
          <w:rFonts w:cstheme="minorHAnsi"/>
          <w:color w:val="212B32"/>
          <w:sz w:val="24"/>
          <w:szCs w:val="24"/>
          <w:lang w:val="en"/>
        </w:rPr>
        <w:t xml:space="preserve">infections, with fewer visits to hospital as a result </w:t>
      </w:r>
    </w:p>
    <w:p w14:paraId="1B2EA76A" w14:textId="77777777" w:rsidR="00427167" w:rsidRPr="001D7F9E" w:rsidRDefault="00044E39" w:rsidP="00B13D4A">
      <w:pPr>
        <w:numPr>
          <w:ilvl w:val="0"/>
          <w:numId w:val="19"/>
        </w:numPr>
        <w:spacing w:before="100" w:beforeAutospacing="1" w:after="100" w:afterAutospacing="1" w:line="240" w:lineRule="auto"/>
        <w:rPr>
          <w:rFonts w:cstheme="minorHAnsi"/>
          <w:sz w:val="24"/>
          <w:szCs w:val="24"/>
          <w:lang w:val="en"/>
        </w:rPr>
      </w:pPr>
      <w:hyperlink r:id="rId42" w:history="1">
        <w:r w:rsidR="00427167" w:rsidRPr="001D7F9E">
          <w:rPr>
            <w:rStyle w:val="Hyperlink"/>
            <w:rFonts w:cstheme="minorHAnsi"/>
            <w:color w:val="auto"/>
            <w:sz w:val="24"/>
            <w:szCs w:val="24"/>
            <w:u w:val="none"/>
            <w:lang w:val="en"/>
          </w:rPr>
          <w:t>diarrhoea and vomiting</w:t>
        </w:r>
      </w:hyperlink>
      <w:r w:rsidR="00427167" w:rsidRPr="001D7F9E">
        <w:rPr>
          <w:rFonts w:cstheme="minorHAnsi"/>
          <w:sz w:val="24"/>
          <w:szCs w:val="24"/>
          <w:lang w:val="en"/>
        </w:rPr>
        <w:t xml:space="preserve">, with fewer visits to hospital as a result </w:t>
      </w:r>
    </w:p>
    <w:p w14:paraId="67D943AE" w14:textId="77777777" w:rsidR="00427167" w:rsidRPr="001D7F9E" w:rsidRDefault="00044E39" w:rsidP="00B13D4A">
      <w:pPr>
        <w:numPr>
          <w:ilvl w:val="0"/>
          <w:numId w:val="19"/>
        </w:numPr>
        <w:spacing w:before="100" w:beforeAutospacing="1" w:after="100" w:afterAutospacing="1" w:line="240" w:lineRule="auto"/>
        <w:rPr>
          <w:rFonts w:cstheme="minorHAnsi"/>
          <w:sz w:val="24"/>
          <w:szCs w:val="24"/>
          <w:lang w:val="en"/>
        </w:rPr>
      </w:pPr>
      <w:hyperlink r:id="rId43" w:history="1">
        <w:r w:rsidR="00427167" w:rsidRPr="001D7F9E">
          <w:rPr>
            <w:rStyle w:val="Hyperlink"/>
            <w:rFonts w:cstheme="minorHAnsi"/>
            <w:color w:val="auto"/>
            <w:sz w:val="24"/>
            <w:szCs w:val="24"/>
            <w:u w:val="none"/>
            <w:lang w:val="en"/>
          </w:rPr>
          <w:t>sudden infant death syndrome (SIDS)</w:t>
        </w:r>
      </w:hyperlink>
    </w:p>
    <w:p w14:paraId="15065091" w14:textId="77777777" w:rsidR="00427167" w:rsidRPr="001D7F9E" w:rsidRDefault="00427167" w:rsidP="00B13D4A">
      <w:pPr>
        <w:numPr>
          <w:ilvl w:val="0"/>
          <w:numId w:val="19"/>
        </w:numPr>
        <w:spacing w:before="100" w:beforeAutospacing="1" w:after="100" w:afterAutospacing="1" w:line="240" w:lineRule="auto"/>
        <w:rPr>
          <w:rFonts w:cstheme="minorHAnsi"/>
          <w:sz w:val="24"/>
          <w:szCs w:val="24"/>
          <w:lang w:val="en"/>
        </w:rPr>
      </w:pPr>
      <w:r w:rsidRPr="001D7F9E">
        <w:rPr>
          <w:rFonts w:cstheme="minorHAnsi"/>
          <w:sz w:val="24"/>
          <w:szCs w:val="24"/>
          <w:lang w:val="en"/>
        </w:rPr>
        <w:t xml:space="preserve">childhood leukaemia </w:t>
      </w:r>
    </w:p>
    <w:p w14:paraId="2E4D82CC" w14:textId="77777777" w:rsidR="00427167" w:rsidRPr="001D7F9E" w:rsidRDefault="00044E39" w:rsidP="00B13D4A">
      <w:pPr>
        <w:numPr>
          <w:ilvl w:val="0"/>
          <w:numId w:val="19"/>
        </w:numPr>
        <w:spacing w:before="100" w:beforeAutospacing="1" w:after="100" w:afterAutospacing="1" w:line="240" w:lineRule="auto"/>
        <w:rPr>
          <w:rFonts w:cstheme="minorHAnsi"/>
          <w:sz w:val="24"/>
          <w:szCs w:val="24"/>
          <w:lang w:val="en"/>
        </w:rPr>
      </w:pPr>
      <w:hyperlink r:id="rId44" w:history="1">
        <w:r w:rsidR="00427167" w:rsidRPr="001D7F9E">
          <w:rPr>
            <w:rStyle w:val="Hyperlink"/>
            <w:rFonts w:cstheme="minorHAnsi"/>
            <w:color w:val="auto"/>
            <w:sz w:val="24"/>
            <w:szCs w:val="24"/>
            <w:u w:val="none"/>
            <w:lang w:val="en"/>
          </w:rPr>
          <w:t>obesity</w:t>
        </w:r>
      </w:hyperlink>
    </w:p>
    <w:p w14:paraId="6E9FA7D2" w14:textId="77777777" w:rsidR="00427167" w:rsidRDefault="00044E39" w:rsidP="00B13D4A">
      <w:pPr>
        <w:numPr>
          <w:ilvl w:val="0"/>
          <w:numId w:val="19"/>
        </w:numPr>
        <w:spacing w:before="100" w:beforeAutospacing="1" w:after="100" w:afterAutospacing="1" w:line="240" w:lineRule="auto"/>
        <w:rPr>
          <w:rFonts w:ascii="Frutiger W01" w:hAnsi="Frutiger W01" w:hint="eastAsia"/>
          <w:color w:val="212B32"/>
          <w:lang w:val="en"/>
        </w:rPr>
      </w:pPr>
      <w:hyperlink r:id="rId45" w:history="1">
        <w:r w:rsidR="00427167" w:rsidRPr="001D7F9E">
          <w:rPr>
            <w:rStyle w:val="Hyperlink"/>
            <w:rFonts w:cstheme="minorHAnsi"/>
            <w:color w:val="auto"/>
            <w:sz w:val="24"/>
            <w:szCs w:val="24"/>
            <w:u w:val="none"/>
            <w:lang w:val="en"/>
          </w:rPr>
          <w:t>cardiovascular disease</w:t>
        </w:r>
      </w:hyperlink>
      <w:r w:rsidR="00427167" w:rsidRPr="001D7F9E">
        <w:rPr>
          <w:rFonts w:cstheme="minorHAnsi"/>
          <w:sz w:val="24"/>
          <w:szCs w:val="24"/>
          <w:lang w:val="en"/>
        </w:rPr>
        <w:t xml:space="preserve"> in adulthood</w:t>
      </w:r>
      <w:r w:rsidR="00427167" w:rsidRPr="001D7F9E">
        <w:rPr>
          <w:rFonts w:cstheme="minorHAnsi"/>
          <w:color w:val="212B32"/>
          <w:sz w:val="24"/>
          <w:szCs w:val="24"/>
          <w:lang w:val="en"/>
        </w:rPr>
        <w:t xml:space="preserve"> </w:t>
      </w:r>
    </w:p>
    <w:p w14:paraId="7DF609B6" w14:textId="77777777" w:rsidR="00427167" w:rsidRDefault="00427167" w:rsidP="00427167">
      <w:pPr>
        <w:pStyle w:val="Heading3"/>
      </w:pPr>
    </w:p>
    <w:p w14:paraId="62DF9702" w14:textId="77777777" w:rsidR="00427167" w:rsidRDefault="00427167" w:rsidP="00427167">
      <w:pPr>
        <w:pStyle w:val="Heading3"/>
      </w:pPr>
      <w:r w:rsidRPr="00E93AFC">
        <w:t>Initiation</w:t>
      </w:r>
    </w:p>
    <w:p w14:paraId="36B1065D" w14:textId="082785BB" w:rsidR="00427167" w:rsidRPr="00580BD2" w:rsidRDefault="007577C7" w:rsidP="00427167">
      <w:pPr>
        <w:rPr>
          <w:rFonts w:cs="Arial"/>
          <w:sz w:val="24"/>
          <w:szCs w:val="24"/>
        </w:rPr>
      </w:pPr>
      <w:r>
        <w:rPr>
          <w:rFonts w:cs="Arial"/>
          <w:sz w:val="24"/>
          <w:szCs w:val="24"/>
        </w:rPr>
        <w:t>The proportion of babies whose first feed is breastmilk stands at 63.5% in 2018/19 in Sandwell. This is above the West Midlands figure of 62.5%, but significantly below the England average of 67.4%.</w:t>
      </w:r>
      <w:r w:rsidR="00427167" w:rsidRPr="00580BD2">
        <w:rPr>
          <w:rFonts w:cs="Arial"/>
          <w:sz w:val="24"/>
          <w:szCs w:val="24"/>
        </w:rPr>
        <w:t xml:space="preserve"> </w:t>
      </w:r>
    </w:p>
    <w:p w14:paraId="404DE112" w14:textId="77777777" w:rsidR="00427167" w:rsidRPr="00E93AFC" w:rsidRDefault="00427167" w:rsidP="00427167">
      <w:pPr>
        <w:ind w:left="360"/>
        <w:rPr>
          <w:rFonts w:cs="Arial"/>
          <w:sz w:val="24"/>
          <w:szCs w:val="24"/>
        </w:rPr>
      </w:pPr>
    </w:p>
    <w:p w14:paraId="15AC84D4" w14:textId="349C5F9D" w:rsidR="007577C7" w:rsidRDefault="00D05BB1" w:rsidP="00427167">
      <w:pPr>
        <w:rPr>
          <w:noProof/>
          <w:sz w:val="24"/>
          <w:szCs w:val="24"/>
        </w:rPr>
      </w:pPr>
      <w:r>
        <w:rPr>
          <w:rFonts w:cs="Arial"/>
          <w:b/>
          <w:sz w:val="24"/>
          <w:szCs w:val="24"/>
        </w:rPr>
        <w:t>Figure 2.5</w:t>
      </w:r>
      <w:r w:rsidR="007577C7">
        <w:rPr>
          <w:noProof/>
        </w:rPr>
        <w:drawing>
          <wp:inline distT="0" distB="0" distL="0" distR="0" wp14:anchorId="5EFFD266" wp14:editId="0DB243E5">
            <wp:extent cx="5346700" cy="4009729"/>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1138" cy="4013057"/>
                    </a:xfrm>
                    <a:prstGeom prst="rect">
                      <a:avLst/>
                    </a:prstGeom>
                  </pic:spPr>
                </pic:pic>
              </a:graphicData>
            </a:graphic>
          </wp:inline>
        </w:drawing>
      </w:r>
    </w:p>
    <w:p w14:paraId="1A729869" w14:textId="06DFD0DA" w:rsidR="00427167" w:rsidRDefault="00427167" w:rsidP="00427167">
      <w:pPr>
        <w:rPr>
          <w:rFonts w:cs="Arial"/>
          <w:sz w:val="24"/>
          <w:szCs w:val="24"/>
        </w:rPr>
      </w:pPr>
      <w:r w:rsidRPr="00580BD2">
        <w:rPr>
          <w:rFonts w:cs="Arial"/>
          <w:sz w:val="24"/>
          <w:szCs w:val="24"/>
        </w:rPr>
        <w:t xml:space="preserve">Source: </w:t>
      </w:r>
      <w:r w:rsidR="007577C7">
        <w:rPr>
          <w:rFonts w:cs="Arial"/>
          <w:sz w:val="24"/>
          <w:szCs w:val="24"/>
        </w:rPr>
        <w:t xml:space="preserve">Maternity Services Dataset (MSDS) </w:t>
      </w:r>
      <w:r>
        <w:rPr>
          <w:rFonts w:cs="Arial"/>
          <w:sz w:val="24"/>
          <w:szCs w:val="24"/>
        </w:rPr>
        <w:br/>
      </w:r>
    </w:p>
    <w:p w14:paraId="394DC4B1" w14:textId="77777777" w:rsidR="00427167" w:rsidRPr="00E93AFC" w:rsidRDefault="00427167" w:rsidP="00427167">
      <w:pPr>
        <w:rPr>
          <w:highlight w:val="cyan"/>
        </w:rPr>
      </w:pPr>
    </w:p>
    <w:p w14:paraId="777F9E41" w14:textId="77777777" w:rsidR="00427167" w:rsidRPr="00E93AFC" w:rsidRDefault="00427167" w:rsidP="00427167">
      <w:pPr>
        <w:pStyle w:val="Heading3"/>
      </w:pPr>
      <w:r w:rsidRPr="00E93AFC">
        <w:t>At 6-8 weeks</w:t>
      </w:r>
    </w:p>
    <w:bookmarkEnd w:id="12"/>
    <w:p w14:paraId="75E7094A" w14:textId="77777777" w:rsidR="00427167" w:rsidRPr="00580BD2" w:rsidRDefault="00427167" w:rsidP="00427167">
      <w:pPr>
        <w:spacing w:before="45" w:after="45" w:line="240" w:lineRule="auto"/>
        <w:rPr>
          <w:rFonts w:eastAsia="Times New Roman" w:cs="Arial"/>
          <w:color w:val="333333"/>
          <w:sz w:val="24"/>
          <w:szCs w:val="24"/>
          <w:highlight w:val="cyan"/>
          <w:lang w:eastAsia="en-GB"/>
        </w:rPr>
      </w:pPr>
      <w:r w:rsidRPr="00E93AFC">
        <w:rPr>
          <w:rFonts w:eastAsia="Times New Roman" w:cs="Arial"/>
          <w:color w:val="333333"/>
          <w:sz w:val="24"/>
          <w:szCs w:val="24"/>
          <w:lang w:eastAsia="en-GB"/>
        </w:rPr>
        <w:t>This is the percentage of infants that are totally or partially breastfed at age 6-8 weeks. Totally breastfed is defined as infants who are exclusively receiving breast milk at 6-8 weeks of age - that is, they are not receiving formula milk, any other liquids or food. Partially breastfed is defined as infants who are currently receiving breast milk at 6-8 weeks of age and who are also receiving formula milk or any other liquids or food.</w:t>
      </w:r>
    </w:p>
    <w:p w14:paraId="3B5C4874" w14:textId="77777777" w:rsidR="00427167" w:rsidRPr="00580BD2" w:rsidRDefault="00427167" w:rsidP="00427167">
      <w:pPr>
        <w:spacing w:before="45" w:after="45" w:line="240" w:lineRule="auto"/>
        <w:rPr>
          <w:rFonts w:eastAsia="Times New Roman" w:cs="Arial"/>
          <w:color w:val="333333"/>
          <w:sz w:val="24"/>
          <w:szCs w:val="24"/>
          <w:highlight w:val="cyan"/>
          <w:lang w:eastAsia="en-GB"/>
        </w:rPr>
      </w:pPr>
    </w:p>
    <w:p w14:paraId="5E546B9F" w14:textId="3991E0A0" w:rsidR="00427167" w:rsidRPr="00580BD2" w:rsidRDefault="00427167" w:rsidP="00427167">
      <w:pPr>
        <w:pStyle w:val="ListParagraph"/>
        <w:numPr>
          <w:ilvl w:val="0"/>
          <w:numId w:val="5"/>
        </w:numPr>
        <w:spacing w:line="240" w:lineRule="auto"/>
        <w:rPr>
          <w:rFonts w:cs="Arial"/>
          <w:sz w:val="24"/>
          <w:szCs w:val="24"/>
        </w:rPr>
      </w:pPr>
      <w:r>
        <w:rPr>
          <w:rFonts w:cs="Arial"/>
          <w:sz w:val="24"/>
          <w:szCs w:val="24"/>
        </w:rPr>
        <w:t>T</w:t>
      </w:r>
      <w:r w:rsidRPr="00580BD2">
        <w:rPr>
          <w:rFonts w:cs="Arial"/>
          <w:sz w:val="24"/>
          <w:szCs w:val="24"/>
        </w:rPr>
        <w:t>he proportion of women who continue to breast feed at 6-8 weeks after birth in Sandwell (</w:t>
      </w:r>
      <w:r>
        <w:rPr>
          <w:rFonts w:cs="Arial"/>
          <w:sz w:val="24"/>
          <w:szCs w:val="24"/>
        </w:rPr>
        <w:t>4</w:t>
      </w:r>
      <w:r w:rsidR="006563FD">
        <w:rPr>
          <w:rFonts w:cs="Arial"/>
          <w:sz w:val="24"/>
          <w:szCs w:val="24"/>
        </w:rPr>
        <w:t>4</w:t>
      </w:r>
      <w:r>
        <w:rPr>
          <w:rFonts w:cs="Arial"/>
          <w:sz w:val="24"/>
          <w:szCs w:val="24"/>
        </w:rPr>
        <w:t>.</w:t>
      </w:r>
      <w:r w:rsidR="006563FD">
        <w:rPr>
          <w:rFonts w:cs="Arial"/>
          <w:sz w:val="24"/>
          <w:szCs w:val="24"/>
        </w:rPr>
        <w:t>2</w:t>
      </w:r>
      <w:r w:rsidRPr="00580BD2">
        <w:rPr>
          <w:rFonts w:cs="Arial"/>
          <w:sz w:val="24"/>
          <w:szCs w:val="24"/>
        </w:rPr>
        <w:t xml:space="preserve">%) in </w:t>
      </w:r>
      <w:r>
        <w:rPr>
          <w:rFonts w:cs="Arial"/>
          <w:sz w:val="24"/>
          <w:szCs w:val="24"/>
        </w:rPr>
        <w:t>20</w:t>
      </w:r>
      <w:r w:rsidR="006563FD">
        <w:rPr>
          <w:rFonts w:cs="Arial"/>
          <w:sz w:val="24"/>
          <w:szCs w:val="24"/>
        </w:rPr>
        <w:t>20</w:t>
      </w:r>
      <w:r>
        <w:rPr>
          <w:rFonts w:cs="Arial"/>
          <w:sz w:val="24"/>
          <w:szCs w:val="24"/>
        </w:rPr>
        <w:t>/</w:t>
      </w:r>
      <w:r w:rsidR="006563FD">
        <w:rPr>
          <w:rFonts w:cs="Arial"/>
          <w:sz w:val="24"/>
          <w:szCs w:val="24"/>
        </w:rPr>
        <w:t>21</w:t>
      </w:r>
      <w:r w:rsidRPr="00580BD2">
        <w:rPr>
          <w:rFonts w:cs="Arial"/>
          <w:sz w:val="24"/>
          <w:szCs w:val="24"/>
        </w:rPr>
        <w:t xml:space="preserve"> </w:t>
      </w:r>
      <w:r>
        <w:rPr>
          <w:rFonts w:cs="Arial"/>
          <w:sz w:val="24"/>
          <w:szCs w:val="24"/>
        </w:rPr>
        <w:t>remains significantly lower</w:t>
      </w:r>
      <w:r w:rsidRPr="00580BD2">
        <w:rPr>
          <w:rFonts w:cs="Arial"/>
          <w:sz w:val="24"/>
          <w:szCs w:val="24"/>
        </w:rPr>
        <w:t xml:space="preserve"> than the England </w:t>
      </w:r>
      <w:r>
        <w:rPr>
          <w:rFonts w:cs="Arial"/>
          <w:sz w:val="24"/>
          <w:szCs w:val="24"/>
        </w:rPr>
        <w:t xml:space="preserve">average </w:t>
      </w:r>
      <w:r w:rsidRPr="00580BD2">
        <w:rPr>
          <w:rFonts w:cs="Arial"/>
          <w:sz w:val="24"/>
          <w:szCs w:val="24"/>
        </w:rPr>
        <w:t>(</w:t>
      </w:r>
      <w:r>
        <w:rPr>
          <w:rFonts w:cs="Arial"/>
          <w:sz w:val="24"/>
          <w:szCs w:val="24"/>
        </w:rPr>
        <w:t>4</w:t>
      </w:r>
      <w:r w:rsidR="006563FD">
        <w:rPr>
          <w:rFonts w:cs="Arial"/>
          <w:sz w:val="24"/>
          <w:szCs w:val="24"/>
        </w:rPr>
        <w:t>7</w:t>
      </w:r>
      <w:r>
        <w:rPr>
          <w:rFonts w:cs="Arial"/>
          <w:sz w:val="24"/>
          <w:szCs w:val="24"/>
        </w:rPr>
        <w:t>.</w:t>
      </w:r>
      <w:r w:rsidR="006563FD">
        <w:rPr>
          <w:rFonts w:cs="Arial"/>
          <w:sz w:val="24"/>
          <w:szCs w:val="24"/>
        </w:rPr>
        <w:t>6</w:t>
      </w:r>
      <w:r w:rsidRPr="00580BD2">
        <w:rPr>
          <w:rFonts w:cs="Arial"/>
          <w:sz w:val="24"/>
          <w:szCs w:val="24"/>
        </w:rPr>
        <w:t>%) (</w:t>
      </w:r>
      <w:r w:rsidR="002F1B79">
        <w:rPr>
          <w:rFonts w:cs="Arial"/>
          <w:sz w:val="24"/>
          <w:szCs w:val="24"/>
        </w:rPr>
        <w:t>Fingertips</w:t>
      </w:r>
      <w:r w:rsidRPr="00580BD2">
        <w:rPr>
          <w:rFonts w:cs="Arial"/>
          <w:sz w:val="24"/>
          <w:szCs w:val="24"/>
        </w:rPr>
        <w:t>).</w:t>
      </w:r>
    </w:p>
    <w:p w14:paraId="233A8CCC" w14:textId="77777777" w:rsidR="00427167" w:rsidRPr="00E93AFC" w:rsidRDefault="00427167" w:rsidP="005B1F6D">
      <w:pPr>
        <w:pStyle w:val="Heading2"/>
      </w:pPr>
      <w:bookmarkStart w:id="13" w:name="_Hlk13839074"/>
      <w:r w:rsidRPr="00E93AFC">
        <w:t>A&amp;E attendances (0-4 years)</w:t>
      </w:r>
    </w:p>
    <w:bookmarkEnd w:id="13"/>
    <w:p w14:paraId="18383C30" w14:textId="77777777" w:rsidR="00427167" w:rsidRPr="00580BD2" w:rsidRDefault="00427167" w:rsidP="00427167">
      <w:pPr>
        <w:spacing w:before="45" w:after="45" w:line="240" w:lineRule="auto"/>
        <w:rPr>
          <w:rFonts w:eastAsia="Times New Roman" w:cs="Arial"/>
          <w:color w:val="333333"/>
          <w:sz w:val="24"/>
          <w:szCs w:val="24"/>
          <w:lang w:eastAsia="en-GB"/>
        </w:rPr>
      </w:pPr>
      <w:r w:rsidRPr="00580BD2">
        <w:rPr>
          <w:rFonts w:eastAsia="Times New Roman" w:cs="Arial"/>
          <w:color w:val="333333"/>
          <w:sz w:val="24"/>
          <w:szCs w:val="24"/>
          <w:lang w:eastAsia="en-GB"/>
        </w:rPr>
        <w:t>A&amp;E attendances in children aged under five years are often preventable, and commonly caused by accidental injury or by minor illnesses which could have been treated in primary care.</w:t>
      </w:r>
    </w:p>
    <w:p w14:paraId="4069BB41" w14:textId="020955EB" w:rsidR="00427167" w:rsidRPr="00580BD2" w:rsidRDefault="00427167" w:rsidP="00427167">
      <w:pPr>
        <w:pStyle w:val="ListParagraph"/>
        <w:numPr>
          <w:ilvl w:val="0"/>
          <w:numId w:val="5"/>
        </w:numPr>
        <w:rPr>
          <w:rFonts w:cstheme="majorHAnsi"/>
          <w:sz w:val="24"/>
          <w:szCs w:val="24"/>
          <w:u w:val="single"/>
        </w:rPr>
      </w:pPr>
      <w:r>
        <w:rPr>
          <w:rFonts w:cstheme="majorHAnsi"/>
          <w:sz w:val="24"/>
          <w:szCs w:val="24"/>
        </w:rPr>
        <w:t xml:space="preserve">In </w:t>
      </w:r>
      <w:r w:rsidRPr="00580BD2">
        <w:rPr>
          <w:rFonts w:cstheme="majorHAnsi"/>
          <w:sz w:val="24"/>
          <w:szCs w:val="24"/>
        </w:rPr>
        <w:t>201</w:t>
      </w:r>
      <w:r w:rsidR="0047282E">
        <w:rPr>
          <w:rFonts w:cstheme="majorHAnsi"/>
          <w:sz w:val="24"/>
          <w:szCs w:val="24"/>
        </w:rPr>
        <w:t>9</w:t>
      </w:r>
      <w:r w:rsidRPr="00580BD2">
        <w:rPr>
          <w:rFonts w:cstheme="majorHAnsi"/>
          <w:sz w:val="24"/>
          <w:szCs w:val="24"/>
        </w:rPr>
        <w:t>/</w:t>
      </w:r>
      <w:r w:rsidR="0047282E">
        <w:rPr>
          <w:rFonts w:cstheme="majorHAnsi"/>
          <w:sz w:val="24"/>
          <w:szCs w:val="24"/>
        </w:rPr>
        <w:t>20</w:t>
      </w:r>
      <w:r w:rsidRPr="00580BD2">
        <w:rPr>
          <w:rFonts w:cstheme="majorHAnsi"/>
          <w:sz w:val="24"/>
          <w:szCs w:val="24"/>
        </w:rPr>
        <w:t xml:space="preserve"> </w:t>
      </w:r>
      <w:r>
        <w:rPr>
          <w:rFonts w:cstheme="majorHAnsi"/>
          <w:sz w:val="24"/>
          <w:szCs w:val="24"/>
        </w:rPr>
        <w:t>there were</w:t>
      </w:r>
      <w:r w:rsidRPr="00580BD2">
        <w:rPr>
          <w:rFonts w:cstheme="majorHAnsi"/>
          <w:sz w:val="24"/>
          <w:szCs w:val="24"/>
        </w:rPr>
        <w:t xml:space="preserve"> 6</w:t>
      </w:r>
      <w:r w:rsidR="0047282E">
        <w:rPr>
          <w:rFonts w:cstheme="majorHAnsi"/>
          <w:sz w:val="24"/>
          <w:szCs w:val="24"/>
        </w:rPr>
        <w:t>04</w:t>
      </w:r>
      <w:r w:rsidRPr="00580BD2">
        <w:rPr>
          <w:rFonts w:cstheme="majorHAnsi"/>
          <w:sz w:val="24"/>
          <w:szCs w:val="24"/>
        </w:rPr>
        <w:t xml:space="preserve"> A&amp; E attendance</w:t>
      </w:r>
      <w:r>
        <w:rPr>
          <w:rFonts w:cstheme="majorHAnsi"/>
          <w:sz w:val="24"/>
          <w:szCs w:val="24"/>
        </w:rPr>
        <w:t>s</w:t>
      </w:r>
      <w:r w:rsidRPr="00580BD2">
        <w:rPr>
          <w:rFonts w:cstheme="majorHAnsi"/>
          <w:sz w:val="24"/>
          <w:szCs w:val="24"/>
        </w:rPr>
        <w:t xml:space="preserve"> per 1</w:t>
      </w:r>
      <w:r>
        <w:rPr>
          <w:rFonts w:cstheme="majorHAnsi"/>
          <w:sz w:val="24"/>
          <w:szCs w:val="24"/>
        </w:rPr>
        <w:t>,</w:t>
      </w:r>
      <w:r w:rsidRPr="00580BD2">
        <w:rPr>
          <w:rFonts w:cstheme="majorHAnsi"/>
          <w:sz w:val="24"/>
          <w:szCs w:val="24"/>
        </w:rPr>
        <w:t>000 0-4-year-old</w:t>
      </w:r>
      <w:r>
        <w:rPr>
          <w:rFonts w:cstheme="majorHAnsi"/>
          <w:sz w:val="24"/>
          <w:szCs w:val="24"/>
        </w:rPr>
        <w:t>s</w:t>
      </w:r>
      <w:r w:rsidRPr="00580BD2">
        <w:rPr>
          <w:rFonts w:cstheme="majorHAnsi"/>
          <w:sz w:val="24"/>
          <w:szCs w:val="24"/>
        </w:rPr>
        <w:t xml:space="preserve"> in Sandwell.  </w:t>
      </w:r>
    </w:p>
    <w:p w14:paraId="334180D5" w14:textId="6016BD14" w:rsidR="00427167" w:rsidRPr="00580BD2" w:rsidRDefault="00427167" w:rsidP="00427167">
      <w:pPr>
        <w:pStyle w:val="ListParagraph"/>
        <w:numPr>
          <w:ilvl w:val="0"/>
          <w:numId w:val="5"/>
        </w:numPr>
        <w:rPr>
          <w:rFonts w:cstheme="majorHAnsi"/>
          <w:sz w:val="24"/>
          <w:szCs w:val="24"/>
          <w:u w:val="single"/>
        </w:rPr>
      </w:pPr>
      <w:r>
        <w:rPr>
          <w:rFonts w:cstheme="majorHAnsi"/>
          <w:sz w:val="24"/>
          <w:szCs w:val="24"/>
        </w:rPr>
        <w:t xml:space="preserve">Sandwell is </w:t>
      </w:r>
      <w:r w:rsidR="00796925">
        <w:rPr>
          <w:rFonts w:cstheme="majorHAnsi"/>
          <w:sz w:val="24"/>
          <w:szCs w:val="24"/>
        </w:rPr>
        <w:t>better</w:t>
      </w:r>
      <w:r>
        <w:rPr>
          <w:rFonts w:cstheme="majorHAnsi"/>
          <w:sz w:val="24"/>
          <w:szCs w:val="24"/>
        </w:rPr>
        <w:t xml:space="preserve"> than </w:t>
      </w:r>
      <w:r w:rsidRPr="00580BD2">
        <w:rPr>
          <w:rFonts w:cstheme="majorHAnsi"/>
          <w:sz w:val="24"/>
          <w:szCs w:val="24"/>
        </w:rPr>
        <w:t>England (6</w:t>
      </w:r>
      <w:r w:rsidR="00796925">
        <w:rPr>
          <w:rFonts w:cstheme="majorHAnsi"/>
          <w:sz w:val="24"/>
          <w:szCs w:val="24"/>
        </w:rPr>
        <w:t>5</w:t>
      </w:r>
      <w:r w:rsidR="00165E94">
        <w:rPr>
          <w:rFonts w:cstheme="majorHAnsi"/>
          <w:sz w:val="24"/>
          <w:szCs w:val="24"/>
        </w:rPr>
        <w:t>9</w:t>
      </w:r>
      <w:r w:rsidR="00796925">
        <w:rPr>
          <w:rFonts w:cstheme="majorHAnsi"/>
          <w:sz w:val="24"/>
          <w:szCs w:val="24"/>
        </w:rPr>
        <w:t>.</w:t>
      </w:r>
      <w:r w:rsidR="00165E94">
        <w:rPr>
          <w:rFonts w:cstheme="majorHAnsi"/>
          <w:sz w:val="24"/>
          <w:szCs w:val="24"/>
        </w:rPr>
        <w:t>8</w:t>
      </w:r>
      <w:r w:rsidRPr="00580BD2">
        <w:rPr>
          <w:rFonts w:cstheme="majorHAnsi"/>
          <w:sz w:val="24"/>
          <w:szCs w:val="24"/>
        </w:rPr>
        <w:t>)</w:t>
      </w:r>
      <w:r>
        <w:rPr>
          <w:rFonts w:cstheme="majorHAnsi"/>
          <w:sz w:val="24"/>
          <w:szCs w:val="24"/>
        </w:rPr>
        <w:t>.</w:t>
      </w:r>
    </w:p>
    <w:p w14:paraId="72F84B82" w14:textId="06B720F4" w:rsidR="00427167" w:rsidRPr="002140BF" w:rsidRDefault="00427167" w:rsidP="00427167">
      <w:pPr>
        <w:pStyle w:val="ListParagraph"/>
        <w:numPr>
          <w:ilvl w:val="0"/>
          <w:numId w:val="5"/>
        </w:numPr>
        <w:rPr>
          <w:rFonts w:cstheme="majorHAnsi"/>
          <w:sz w:val="24"/>
          <w:szCs w:val="24"/>
          <w:u w:val="single"/>
        </w:rPr>
      </w:pPr>
      <w:r>
        <w:rPr>
          <w:rFonts w:cstheme="majorHAnsi"/>
          <w:sz w:val="24"/>
          <w:szCs w:val="24"/>
        </w:rPr>
        <w:t>The trend has been i</w:t>
      </w:r>
      <w:r w:rsidRPr="00580BD2">
        <w:rPr>
          <w:rFonts w:cstheme="majorHAnsi"/>
          <w:sz w:val="24"/>
          <w:szCs w:val="24"/>
        </w:rPr>
        <w:t xml:space="preserve">ncreasing over </w:t>
      </w:r>
      <w:r>
        <w:rPr>
          <w:rFonts w:cstheme="majorHAnsi"/>
          <w:sz w:val="24"/>
          <w:szCs w:val="24"/>
        </w:rPr>
        <w:t xml:space="preserve">the past </w:t>
      </w:r>
      <w:r w:rsidR="00167287">
        <w:rPr>
          <w:rFonts w:cstheme="majorHAnsi"/>
          <w:sz w:val="24"/>
          <w:szCs w:val="24"/>
        </w:rPr>
        <w:t>7</w:t>
      </w:r>
      <w:r>
        <w:rPr>
          <w:rFonts w:cstheme="majorHAnsi"/>
          <w:sz w:val="24"/>
          <w:szCs w:val="24"/>
        </w:rPr>
        <w:t xml:space="preserve"> years</w:t>
      </w:r>
      <w:r w:rsidR="00796925">
        <w:rPr>
          <w:rFonts w:cstheme="majorHAnsi"/>
          <w:sz w:val="24"/>
          <w:szCs w:val="24"/>
        </w:rPr>
        <w:t xml:space="preserve"> in Sandwell</w:t>
      </w:r>
      <w:r>
        <w:rPr>
          <w:rFonts w:cstheme="majorHAnsi"/>
          <w:sz w:val="24"/>
          <w:szCs w:val="24"/>
        </w:rPr>
        <w:t>.</w:t>
      </w:r>
    </w:p>
    <w:p w14:paraId="3A75BC27" w14:textId="77777777" w:rsidR="00427167" w:rsidRDefault="00427167" w:rsidP="00427167">
      <w:pPr>
        <w:rPr>
          <w:rFonts w:cstheme="majorHAnsi"/>
          <w:sz w:val="24"/>
          <w:szCs w:val="24"/>
          <w:u w:val="single"/>
        </w:rPr>
      </w:pPr>
    </w:p>
    <w:p w14:paraId="51BFFCCF" w14:textId="4D4AA7C7" w:rsidR="00427167" w:rsidRPr="002140BF" w:rsidRDefault="00427167" w:rsidP="00427167">
      <w:pPr>
        <w:rPr>
          <w:rFonts w:cstheme="majorHAnsi"/>
          <w:b/>
          <w:sz w:val="24"/>
          <w:szCs w:val="24"/>
        </w:rPr>
      </w:pPr>
      <w:r w:rsidRPr="002140BF">
        <w:rPr>
          <w:rFonts w:cstheme="majorHAnsi"/>
          <w:b/>
          <w:sz w:val="24"/>
          <w:szCs w:val="24"/>
        </w:rPr>
        <w:t>Figure 2.6</w:t>
      </w:r>
      <w:r w:rsidR="00347C7F">
        <w:rPr>
          <w:rFonts w:cstheme="majorHAnsi"/>
          <w:b/>
          <w:sz w:val="24"/>
          <w:szCs w:val="24"/>
        </w:rPr>
        <w:t xml:space="preserve"> A&amp;E attendances (0-4 years old)</w:t>
      </w:r>
    </w:p>
    <w:p w14:paraId="4D526678" w14:textId="0AFA2BBF" w:rsidR="00427167" w:rsidRPr="00580BD2" w:rsidRDefault="00347C7F" w:rsidP="00427167">
      <w:pPr>
        <w:rPr>
          <w:rFonts w:eastAsia="Times New Roman" w:cs="Arial"/>
          <w:color w:val="333333"/>
          <w:sz w:val="24"/>
          <w:szCs w:val="24"/>
          <w:lang w:eastAsia="en-GB"/>
        </w:rPr>
      </w:pPr>
      <w:r>
        <w:rPr>
          <w:rFonts w:eastAsia="Times New Roman" w:cs="Arial"/>
          <w:noProof/>
          <w:color w:val="333333"/>
          <w:sz w:val="24"/>
          <w:szCs w:val="24"/>
          <w:lang w:eastAsia="en-GB"/>
        </w:rPr>
        <w:drawing>
          <wp:inline distT="0" distB="0" distL="0" distR="0" wp14:anchorId="58823FEF" wp14:editId="77525800">
            <wp:extent cx="4265389" cy="2590027"/>
            <wp:effectExtent l="0" t="0" r="190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74695" cy="2595678"/>
                    </a:xfrm>
                    <a:prstGeom prst="rect">
                      <a:avLst/>
                    </a:prstGeom>
                    <a:noFill/>
                  </pic:spPr>
                </pic:pic>
              </a:graphicData>
            </a:graphic>
          </wp:inline>
        </w:drawing>
      </w:r>
    </w:p>
    <w:p w14:paraId="6D31D831" w14:textId="77777777" w:rsidR="00427167" w:rsidRPr="00580BD2" w:rsidRDefault="00427167" w:rsidP="00427167">
      <w:pPr>
        <w:rPr>
          <w:rFonts w:cstheme="majorHAnsi"/>
          <w:b/>
          <w:sz w:val="24"/>
          <w:szCs w:val="24"/>
          <w:u w:val="single"/>
        </w:rPr>
      </w:pPr>
      <w:r w:rsidRPr="007E5580">
        <w:rPr>
          <w:rFonts w:cstheme="majorHAnsi"/>
          <w:sz w:val="24"/>
          <w:szCs w:val="24"/>
        </w:rPr>
        <w:t xml:space="preserve">Source: </w:t>
      </w:r>
      <w:r w:rsidRPr="00580BD2">
        <w:rPr>
          <w:rFonts w:cstheme="majorHAnsi"/>
          <w:sz w:val="24"/>
          <w:szCs w:val="24"/>
        </w:rPr>
        <w:t>Public Health England Profiles</w:t>
      </w:r>
    </w:p>
    <w:p w14:paraId="2478066E" w14:textId="65B6D86E" w:rsidR="00427167" w:rsidRDefault="00427167" w:rsidP="00427167">
      <w:r w:rsidRPr="00F804A3">
        <w:rPr>
          <w:rFonts w:cstheme="majorHAnsi"/>
          <w:sz w:val="24"/>
          <w:szCs w:val="24"/>
        </w:rPr>
        <w:t>Furthe</w:t>
      </w:r>
      <w:r>
        <w:rPr>
          <w:rFonts w:cstheme="majorHAnsi"/>
          <w:sz w:val="24"/>
          <w:szCs w:val="24"/>
        </w:rPr>
        <w:t>r analysis of Hospital Episode Statistics (HES) for Sandwell, shows that during 201</w:t>
      </w:r>
      <w:r w:rsidR="00A33068">
        <w:rPr>
          <w:rFonts w:cstheme="majorHAnsi"/>
          <w:sz w:val="24"/>
          <w:szCs w:val="24"/>
        </w:rPr>
        <w:t>9</w:t>
      </w:r>
      <w:r>
        <w:rPr>
          <w:rFonts w:cstheme="majorHAnsi"/>
          <w:sz w:val="24"/>
          <w:szCs w:val="24"/>
        </w:rPr>
        <w:t>/</w:t>
      </w:r>
      <w:r w:rsidR="00A33068">
        <w:rPr>
          <w:rFonts w:cstheme="majorHAnsi"/>
          <w:sz w:val="24"/>
          <w:szCs w:val="24"/>
        </w:rPr>
        <w:t>20</w:t>
      </w:r>
      <w:r>
        <w:rPr>
          <w:rFonts w:cstheme="majorHAnsi"/>
          <w:sz w:val="24"/>
          <w:szCs w:val="24"/>
        </w:rPr>
        <w:t xml:space="preserve">, there were </w:t>
      </w:r>
      <w:r w:rsidR="00F758AD">
        <w:rPr>
          <w:rFonts w:cstheme="majorHAnsi"/>
          <w:sz w:val="24"/>
          <w:szCs w:val="24"/>
        </w:rPr>
        <w:t>14,130</w:t>
      </w:r>
      <w:r>
        <w:rPr>
          <w:rFonts w:cstheme="majorHAnsi"/>
          <w:sz w:val="24"/>
          <w:szCs w:val="24"/>
        </w:rPr>
        <w:t xml:space="preserve"> A &amp; E admissions for Sandwell children aged under 5. </w:t>
      </w:r>
      <w:r w:rsidRPr="00F804A3">
        <w:t xml:space="preserve"> </w:t>
      </w:r>
    </w:p>
    <w:p w14:paraId="2B9B665B" w14:textId="77777777" w:rsidR="00427167" w:rsidRDefault="00427167" w:rsidP="00427167">
      <w:pPr>
        <w:pStyle w:val="ListParagraph"/>
        <w:numPr>
          <w:ilvl w:val="0"/>
          <w:numId w:val="5"/>
        </w:numPr>
        <w:rPr>
          <w:sz w:val="24"/>
          <w:szCs w:val="24"/>
        </w:rPr>
      </w:pPr>
      <w:r>
        <w:rPr>
          <w:rFonts w:cstheme="majorHAnsi"/>
          <w:sz w:val="24"/>
          <w:szCs w:val="24"/>
        </w:rPr>
        <w:t>Almost a third of admissions are aged 1 &amp; under (31.8%)</w:t>
      </w:r>
      <w:r>
        <w:rPr>
          <w:sz w:val="24"/>
          <w:szCs w:val="24"/>
        </w:rPr>
        <w:t>.</w:t>
      </w:r>
    </w:p>
    <w:p w14:paraId="03B273F9" w14:textId="77777777" w:rsidR="00427167" w:rsidRDefault="00427167" w:rsidP="00427167">
      <w:pPr>
        <w:pStyle w:val="ListParagraph"/>
        <w:numPr>
          <w:ilvl w:val="0"/>
          <w:numId w:val="5"/>
        </w:numPr>
        <w:rPr>
          <w:sz w:val="24"/>
          <w:szCs w:val="24"/>
        </w:rPr>
      </w:pPr>
      <w:r>
        <w:rPr>
          <w:rFonts w:cstheme="majorHAnsi"/>
          <w:sz w:val="24"/>
          <w:szCs w:val="24"/>
        </w:rPr>
        <w:t>51.3% are of White origin, whilst 22.8% are Asian.</w:t>
      </w:r>
    </w:p>
    <w:p w14:paraId="7017D2CC" w14:textId="77777777" w:rsidR="00427167" w:rsidRDefault="00427167" w:rsidP="00427167">
      <w:pPr>
        <w:pStyle w:val="ListParagraph"/>
        <w:numPr>
          <w:ilvl w:val="0"/>
          <w:numId w:val="5"/>
        </w:numPr>
        <w:rPr>
          <w:sz w:val="24"/>
          <w:szCs w:val="24"/>
        </w:rPr>
      </w:pPr>
      <w:r>
        <w:rPr>
          <w:sz w:val="24"/>
          <w:szCs w:val="24"/>
        </w:rPr>
        <w:t>Diagnosis data is not complete, so it is difficult to determine the reason for admission.</w:t>
      </w:r>
    </w:p>
    <w:p w14:paraId="07D126D7" w14:textId="77777777" w:rsidR="00796925" w:rsidRDefault="00427167" w:rsidP="00427167">
      <w:pPr>
        <w:pStyle w:val="ListParagraph"/>
        <w:numPr>
          <w:ilvl w:val="0"/>
          <w:numId w:val="5"/>
        </w:numPr>
        <w:rPr>
          <w:sz w:val="24"/>
          <w:szCs w:val="24"/>
        </w:rPr>
      </w:pPr>
      <w:r>
        <w:rPr>
          <w:sz w:val="24"/>
          <w:szCs w:val="24"/>
        </w:rPr>
        <w:t xml:space="preserve">Around half of admissions were from the towns of West Bromwich or Smethwick (24.8% and 22.5% respectively).  </w:t>
      </w:r>
      <w:r w:rsidR="00796925">
        <w:rPr>
          <w:sz w:val="24"/>
          <w:szCs w:val="24"/>
        </w:rPr>
        <w:t>These towns are the largest in terms of population size, and are also within close proximity to hospitals.</w:t>
      </w:r>
    </w:p>
    <w:p w14:paraId="5CFED6EA" w14:textId="568D5A61" w:rsidR="00427167" w:rsidRPr="006A6BFE" w:rsidRDefault="00427167" w:rsidP="00427167">
      <w:pPr>
        <w:pStyle w:val="ListParagraph"/>
        <w:numPr>
          <w:ilvl w:val="0"/>
          <w:numId w:val="5"/>
        </w:numPr>
        <w:rPr>
          <w:sz w:val="24"/>
          <w:szCs w:val="24"/>
        </w:rPr>
      </w:pPr>
      <w:r>
        <w:rPr>
          <w:sz w:val="24"/>
          <w:szCs w:val="24"/>
        </w:rPr>
        <w:t>Soho &amp; Victoria (7.7%), St. Pauls (6.0%) and Oldbury (5.7%) were the wards accounting for the highest proportion of admissions.</w:t>
      </w:r>
    </w:p>
    <w:p w14:paraId="6E7BAF6D" w14:textId="77777777" w:rsidR="00427167" w:rsidRPr="00E93AFC" w:rsidRDefault="00427167" w:rsidP="005B1F6D">
      <w:pPr>
        <w:pStyle w:val="Heading2"/>
      </w:pPr>
      <w:bookmarkStart w:id="14" w:name="_Hlk13839092"/>
      <w:r w:rsidRPr="00E93AFC">
        <w:t>Emergency admissions (aged 0-4)</w:t>
      </w:r>
    </w:p>
    <w:bookmarkEnd w:id="14"/>
    <w:p w14:paraId="1A05E475" w14:textId="77777777" w:rsidR="00427167" w:rsidRPr="00580BD2" w:rsidRDefault="00427167" w:rsidP="00427167">
      <w:pPr>
        <w:rPr>
          <w:rFonts w:cstheme="majorHAnsi"/>
          <w:sz w:val="24"/>
          <w:szCs w:val="24"/>
        </w:rPr>
      </w:pPr>
      <w:r w:rsidRPr="00580BD2">
        <w:rPr>
          <w:rFonts w:cstheme="majorHAnsi"/>
          <w:sz w:val="24"/>
          <w:szCs w:val="24"/>
        </w:rPr>
        <w:t xml:space="preserve">Nationally, over </w:t>
      </w:r>
      <w:r>
        <w:rPr>
          <w:rFonts w:cstheme="majorHAnsi"/>
          <w:sz w:val="24"/>
          <w:szCs w:val="24"/>
        </w:rPr>
        <w:t>a</w:t>
      </w:r>
      <w:r w:rsidRPr="00580BD2">
        <w:rPr>
          <w:rFonts w:cstheme="majorHAnsi"/>
          <w:sz w:val="24"/>
          <w:szCs w:val="24"/>
        </w:rPr>
        <w:t xml:space="preserve"> quarter of emergency hospital admissions in children aged under 5 years in 2014/15 was for respiratory infections. Factors such as smoking in the home and damp housing are known to increase the risk and severity of respiratory infections in young children.</w:t>
      </w:r>
    </w:p>
    <w:p w14:paraId="6F1A19B8" w14:textId="59251C9D" w:rsidR="00427167" w:rsidRPr="00580BD2" w:rsidRDefault="00427167" w:rsidP="00427167">
      <w:pPr>
        <w:pStyle w:val="ListParagraph"/>
        <w:numPr>
          <w:ilvl w:val="0"/>
          <w:numId w:val="5"/>
        </w:numPr>
        <w:rPr>
          <w:rFonts w:cstheme="majorHAnsi"/>
          <w:sz w:val="24"/>
          <w:szCs w:val="24"/>
          <w:u w:val="single"/>
        </w:rPr>
      </w:pPr>
      <w:r>
        <w:rPr>
          <w:rFonts w:cstheme="majorHAnsi"/>
          <w:sz w:val="24"/>
          <w:szCs w:val="24"/>
        </w:rPr>
        <w:t xml:space="preserve">In Sandwell in </w:t>
      </w:r>
      <w:r w:rsidRPr="00580BD2">
        <w:rPr>
          <w:rFonts w:cstheme="majorHAnsi"/>
          <w:sz w:val="24"/>
          <w:szCs w:val="24"/>
        </w:rPr>
        <w:t>20</w:t>
      </w:r>
      <w:r w:rsidR="006F1D50">
        <w:rPr>
          <w:rFonts w:cstheme="majorHAnsi"/>
          <w:sz w:val="24"/>
          <w:szCs w:val="24"/>
        </w:rPr>
        <w:t>20</w:t>
      </w:r>
      <w:r w:rsidRPr="00580BD2">
        <w:rPr>
          <w:rFonts w:cstheme="majorHAnsi"/>
          <w:sz w:val="24"/>
          <w:szCs w:val="24"/>
        </w:rPr>
        <w:t>/</w:t>
      </w:r>
      <w:r w:rsidR="006F1D50">
        <w:rPr>
          <w:rFonts w:cstheme="majorHAnsi"/>
          <w:sz w:val="24"/>
          <w:szCs w:val="24"/>
        </w:rPr>
        <w:t>21</w:t>
      </w:r>
      <w:r>
        <w:rPr>
          <w:rFonts w:cstheme="majorHAnsi"/>
          <w:sz w:val="24"/>
          <w:szCs w:val="24"/>
        </w:rPr>
        <w:t xml:space="preserve">, there were </w:t>
      </w:r>
      <w:r w:rsidR="0031340C">
        <w:rPr>
          <w:rFonts w:cstheme="majorHAnsi"/>
          <w:sz w:val="24"/>
          <w:szCs w:val="24"/>
        </w:rPr>
        <w:t>108</w:t>
      </w:r>
      <w:r w:rsidRPr="00580BD2">
        <w:rPr>
          <w:rFonts w:cstheme="majorHAnsi"/>
          <w:sz w:val="24"/>
          <w:szCs w:val="24"/>
        </w:rPr>
        <w:t>.</w:t>
      </w:r>
      <w:r w:rsidR="0031340C">
        <w:rPr>
          <w:rFonts w:cstheme="majorHAnsi"/>
          <w:sz w:val="24"/>
          <w:szCs w:val="24"/>
        </w:rPr>
        <w:t>6</w:t>
      </w:r>
      <w:r w:rsidRPr="00580BD2">
        <w:rPr>
          <w:rFonts w:cstheme="majorHAnsi"/>
          <w:sz w:val="24"/>
          <w:szCs w:val="24"/>
        </w:rPr>
        <w:t xml:space="preserve"> emergency admissions per 1</w:t>
      </w:r>
      <w:r>
        <w:rPr>
          <w:rFonts w:cstheme="majorHAnsi"/>
          <w:sz w:val="24"/>
          <w:szCs w:val="24"/>
        </w:rPr>
        <w:t>,</w:t>
      </w:r>
      <w:r w:rsidRPr="00580BD2">
        <w:rPr>
          <w:rFonts w:cstheme="majorHAnsi"/>
          <w:sz w:val="24"/>
          <w:szCs w:val="24"/>
        </w:rPr>
        <w:t>000 0-4-year-old</w:t>
      </w:r>
      <w:r>
        <w:rPr>
          <w:rFonts w:cstheme="majorHAnsi"/>
          <w:sz w:val="24"/>
          <w:szCs w:val="24"/>
        </w:rPr>
        <w:t>s. There has been a</w:t>
      </w:r>
      <w:r w:rsidR="0010694E">
        <w:rPr>
          <w:rFonts w:cstheme="majorHAnsi"/>
          <w:sz w:val="24"/>
          <w:szCs w:val="24"/>
        </w:rPr>
        <w:t xml:space="preserve"> decreas</w:t>
      </w:r>
      <w:r w:rsidR="00EA2EC2">
        <w:rPr>
          <w:rFonts w:cstheme="majorHAnsi"/>
          <w:sz w:val="24"/>
          <w:szCs w:val="24"/>
        </w:rPr>
        <w:t>ing</w:t>
      </w:r>
      <w:r w:rsidRPr="00580BD2">
        <w:rPr>
          <w:rFonts w:cstheme="majorHAnsi"/>
          <w:sz w:val="24"/>
          <w:szCs w:val="24"/>
        </w:rPr>
        <w:t xml:space="preserve"> trend </w:t>
      </w:r>
      <w:r w:rsidR="00EA2EC2">
        <w:rPr>
          <w:rFonts w:cstheme="majorHAnsi"/>
          <w:sz w:val="24"/>
          <w:szCs w:val="24"/>
        </w:rPr>
        <w:t>in the last 3</w:t>
      </w:r>
      <w:r w:rsidRPr="00580BD2">
        <w:rPr>
          <w:rFonts w:cstheme="majorHAnsi"/>
          <w:sz w:val="24"/>
          <w:szCs w:val="24"/>
        </w:rPr>
        <w:t xml:space="preserve"> years</w:t>
      </w:r>
      <w:r>
        <w:rPr>
          <w:rFonts w:cstheme="majorHAnsi"/>
          <w:sz w:val="24"/>
          <w:szCs w:val="24"/>
        </w:rPr>
        <w:t>.</w:t>
      </w:r>
    </w:p>
    <w:p w14:paraId="5759910B" w14:textId="7658003C" w:rsidR="00427167" w:rsidRPr="00580BD2" w:rsidRDefault="00427167" w:rsidP="00427167">
      <w:pPr>
        <w:pStyle w:val="ListParagraph"/>
        <w:numPr>
          <w:ilvl w:val="0"/>
          <w:numId w:val="5"/>
        </w:numPr>
        <w:rPr>
          <w:rFonts w:cstheme="majorHAnsi"/>
          <w:sz w:val="24"/>
          <w:szCs w:val="24"/>
          <w:u w:val="single"/>
        </w:rPr>
      </w:pPr>
      <w:r>
        <w:rPr>
          <w:rFonts w:cstheme="majorHAnsi"/>
          <w:sz w:val="24"/>
          <w:szCs w:val="24"/>
        </w:rPr>
        <w:t>This is s</w:t>
      </w:r>
      <w:r w:rsidRPr="00580BD2">
        <w:rPr>
          <w:rFonts w:cstheme="majorHAnsi"/>
          <w:sz w:val="24"/>
          <w:szCs w:val="24"/>
        </w:rPr>
        <w:t>tatistically worse than England (</w:t>
      </w:r>
      <w:r w:rsidR="003E5F67">
        <w:rPr>
          <w:rFonts w:cstheme="majorHAnsi"/>
          <w:sz w:val="24"/>
          <w:szCs w:val="24"/>
        </w:rPr>
        <w:t>91.2</w:t>
      </w:r>
      <w:r w:rsidRPr="00580BD2">
        <w:rPr>
          <w:rFonts w:cstheme="majorHAnsi"/>
          <w:sz w:val="24"/>
          <w:szCs w:val="24"/>
        </w:rPr>
        <w:t>)</w:t>
      </w:r>
      <w:r>
        <w:rPr>
          <w:rFonts w:cstheme="majorHAnsi"/>
          <w:sz w:val="24"/>
          <w:szCs w:val="24"/>
        </w:rPr>
        <w:t xml:space="preserve"> </w:t>
      </w:r>
      <w:r w:rsidR="003E5F67">
        <w:rPr>
          <w:rFonts w:cstheme="majorHAnsi"/>
          <w:sz w:val="24"/>
          <w:szCs w:val="24"/>
        </w:rPr>
        <w:t>but better than</w:t>
      </w:r>
      <w:r w:rsidRPr="00580BD2">
        <w:rPr>
          <w:rFonts w:cstheme="majorHAnsi"/>
          <w:sz w:val="24"/>
          <w:szCs w:val="24"/>
        </w:rPr>
        <w:t xml:space="preserve"> West Midlands</w:t>
      </w:r>
      <w:r>
        <w:rPr>
          <w:rFonts w:cstheme="majorHAnsi"/>
          <w:sz w:val="24"/>
          <w:szCs w:val="24"/>
        </w:rPr>
        <w:t xml:space="preserve"> </w:t>
      </w:r>
      <w:r w:rsidRPr="00580BD2">
        <w:rPr>
          <w:rFonts w:cstheme="majorHAnsi"/>
          <w:sz w:val="24"/>
          <w:szCs w:val="24"/>
        </w:rPr>
        <w:t>(</w:t>
      </w:r>
      <w:r w:rsidR="000514A6">
        <w:rPr>
          <w:rFonts w:cstheme="majorHAnsi"/>
          <w:sz w:val="24"/>
          <w:szCs w:val="24"/>
        </w:rPr>
        <w:t>95.3</w:t>
      </w:r>
      <w:r w:rsidRPr="00580BD2">
        <w:rPr>
          <w:rFonts w:cstheme="majorHAnsi"/>
          <w:sz w:val="24"/>
          <w:szCs w:val="24"/>
        </w:rPr>
        <w:t>)</w:t>
      </w:r>
      <w:r>
        <w:rPr>
          <w:rFonts w:cstheme="majorHAnsi"/>
          <w:sz w:val="24"/>
          <w:szCs w:val="24"/>
        </w:rPr>
        <w:t>.</w:t>
      </w:r>
    </w:p>
    <w:p w14:paraId="221E2DBD" w14:textId="77777777" w:rsidR="00427167" w:rsidRDefault="00427167" w:rsidP="00427167">
      <w:pPr>
        <w:rPr>
          <w:rFonts w:cstheme="majorHAnsi"/>
          <w:sz w:val="24"/>
          <w:szCs w:val="24"/>
          <w:u w:val="single"/>
        </w:rPr>
      </w:pPr>
    </w:p>
    <w:p w14:paraId="690C6ADE" w14:textId="77777777" w:rsidR="00761E3C" w:rsidRDefault="00761E3C" w:rsidP="00427167">
      <w:pPr>
        <w:rPr>
          <w:rFonts w:cstheme="majorHAnsi"/>
          <w:sz w:val="24"/>
          <w:szCs w:val="24"/>
          <w:u w:val="single"/>
        </w:rPr>
      </w:pPr>
    </w:p>
    <w:p w14:paraId="13B96F02" w14:textId="77777777" w:rsidR="00761E3C" w:rsidRDefault="00761E3C" w:rsidP="00427167">
      <w:pPr>
        <w:rPr>
          <w:rFonts w:cstheme="majorHAnsi"/>
          <w:sz w:val="24"/>
          <w:szCs w:val="24"/>
          <w:u w:val="single"/>
        </w:rPr>
      </w:pPr>
    </w:p>
    <w:p w14:paraId="7ACD5DDC" w14:textId="12C9F957" w:rsidR="00427167" w:rsidRPr="009C4980" w:rsidRDefault="00427167" w:rsidP="00427167">
      <w:pPr>
        <w:rPr>
          <w:rFonts w:cstheme="majorHAnsi"/>
          <w:b/>
          <w:sz w:val="24"/>
          <w:szCs w:val="24"/>
        </w:rPr>
      </w:pPr>
      <w:bookmarkStart w:id="15" w:name="_Hlk25744930"/>
      <w:r w:rsidRPr="009C4980">
        <w:rPr>
          <w:rFonts w:cstheme="majorHAnsi"/>
          <w:b/>
          <w:sz w:val="24"/>
          <w:szCs w:val="24"/>
        </w:rPr>
        <w:t>Figure 2.7</w:t>
      </w:r>
      <w:bookmarkEnd w:id="15"/>
      <w:r w:rsidR="00761E3C">
        <w:rPr>
          <w:rFonts w:cstheme="majorHAnsi"/>
          <w:b/>
          <w:sz w:val="24"/>
          <w:szCs w:val="24"/>
        </w:rPr>
        <w:t xml:space="preserve"> Emergency admissions (aged 0-4)</w:t>
      </w:r>
    </w:p>
    <w:p w14:paraId="7D96D077" w14:textId="091B6E11" w:rsidR="00761E3C" w:rsidRPr="009C4980" w:rsidRDefault="00761E3C" w:rsidP="00427167">
      <w:pPr>
        <w:rPr>
          <w:rFonts w:cstheme="majorHAnsi"/>
          <w:b/>
          <w:sz w:val="24"/>
          <w:szCs w:val="24"/>
        </w:rPr>
      </w:pPr>
      <w:r w:rsidRPr="00761E3C">
        <w:rPr>
          <w:rFonts w:cstheme="majorHAnsi"/>
          <w:b/>
          <w:noProof/>
          <w:sz w:val="24"/>
          <w:szCs w:val="24"/>
        </w:rPr>
        <w:drawing>
          <wp:inline distT="0" distB="0" distL="0" distR="0" wp14:anchorId="7C5A4575" wp14:editId="792352C5">
            <wp:extent cx="4230094" cy="2513874"/>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47848" cy="2524425"/>
                    </a:xfrm>
                    <a:prstGeom prst="rect">
                      <a:avLst/>
                    </a:prstGeom>
                  </pic:spPr>
                </pic:pic>
              </a:graphicData>
            </a:graphic>
          </wp:inline>
        </w:drawing>
      </w:r>
    </w:p>
    <w:p w14:paraId="3396B596" w14:textId="0389EAF4" w:rsidR="00427167" w:rsidRPr="00580BD2" w:rsidRDefault="00427167" w:rsidP="00427167">
      <w:pPr>
        <w:rPr>
          <w:rFonts w:cstheme="majorHAnsi"/>
          <w:b/>
          <w:sz w:val="24"/>
          <w:szCs w:val="24"/>
          <w:u w:val="single"/>
        </w:rPr>
      </w:pPr>
      <w:r w:rsidRPr="00866CAC">
        <w:rPr>
          <w:rFonts w:cstheme="majorHAnsi"/>
          <w:sz w:val="24"/>
          <w:szCs w:val="24"/>
        </w:rPr>
        <w:t>Source: Public Health England Profiles</w:t>
      </w:r>
    </w:p>
    <w:p w14:paraId="37C10E4A" w14:textId="77777777" w:rsidR="00427167" w:rsidRDefault="00427167" w:rsidP="00427167">
      <w:pPr>
        <w:rPr>
          <w:rFonts w:cstheme="majorHAnsi"/>
          <w:sz w:val="24"/>
          <w:szCs w:val="24"/>
        </w:rPr>
      </w:pPr>
    </w:p>
    <w:p w14:paraId="044DFBB6" w14:textId="77777777" w:rsidR="00427167" w:rsidRDefault="00427167" w:rsidP="00427167">
      <w:r w:rsidRPr="00F804A3">
        <w:rPr>
          <w:rFonts w:cstheme="majorHAnsi"/>
          <w:sz w:val="24"/>
          <w:szCs w:val="24"/>
        </w:rPr>
        <w:t>Furthe</w:t>
      </w:r>
      <w:r>
        <w:rPr>
          <w:rFonts w:cstheme="majorHAnsi"/>
          <w:sz w:val="24"/>
          <w:szCs w:val="24"/>
        </w:rPr>
        <w:t xml:space="preserve">r analysis of Hospital Episode Statistics (HES) for Sandwell, shows that for the period 2016/17 to 2018/19, there were 8,116 emergency admissions for Sandwell children aged under 5. </w:t>
      </w:r>
      <w:r w:rsidRPr="00F804A3">
        <w:t xml:space="preserve"> </w:t>
      </w:r>
    </w:p>
    <w:p w14:paraId="3EBE2BE4" w14:textId="77777777" w:rsidR="00427167" w:rsidRDefault="00427167" w:rsidP="00427167">
      <w:pPr>
        <w:pStyle w:val="ListParagraph"/>
        <w:numPr>
          <w:ilvl w:val="0"/>
          <w:numId w:val="5"/>
        </w:numPr>
        <w:rPr>
          <w:sz w:val="24"/>
          <w:szCs w:val="24"/>
        </w:rPr>
      </w:pPr>
      <w:r>
        <w:rPr>
          <w:rFonts w:cstheme="majorHAnsi"/>
          <w:sz w:val="24"/>
          <w:szCs w:val="24"/>
        </w:rPr>
        <w:t>Over a third of admissions are aged 1 &amp; under (37.2%)</w:t>
      </w:r>
      <w:r>
        <w:rPr>
          <w:sz w:val="24"/>
          <w:szCs w:val="24"/>
        </w:rPr>
        <w:t>.</w:t>
      </w:r>
    </w:p>
    <w:p w14:paraId="20A69B34" w14:textId="77777777" w:rsidR="00427167" w:rsidRDefault="00427167" w:rsidP="00427167">
      <w:pPr>
        <w:pStyle w:val="ListParagraph"/>
        <w:numPr>
          <w:ilvl w:val="0"/>
          <w:numId w:val="5"/>
        </w:numPr>
        <w:rPr>
          <w:sz w:val="24"/>
          <w:szCs w:val="24"/>
        </w:rPr>
      </w:pPr>
      <w:r>
        <w:rPr>
          <w:rFonts w:cstheme="majorHAnsi"/>
          <w:sz w:val="24"/>
          <w:szCs w:val="24"/>
        </w:rPr>
        <w:t>44.9% are of White origin, whilst 30.7% are Asian.</w:t>
      </w:r>
    </w:p>
    <w:p w14:paraId="329CD768" w14:textId="77777777" w:rsidR="00427167" w:rsidRDefault="00427167" w:rsidP="00427167">
      <w:pPr>
        <w:pStyle w:val="ListParagraph"/>
        <w:numPr>
          <w:ilvl w:val="0"/>
          <w:numId w:val="5"/>
        </w:numPr>
        <w:rPr>
          <w:sz w:val="24"/>
          <w:szCs w:val="24"/>
        </w:rPr>
      </w:pPr>
      <w:r>
        <w:rPr>
          <w:sz w:val="24"/>
          <w:szCs w:val="24"/>
        </w:rPr>
        <w:t>The most common reason for admission was viral infection of an unspecified site (22.8%), tonsillitis (9.0%), and acute upper and lower respiratory infections (8.0% and 7.9% respectively).</w:t>
      </w:r>
    </w:p>
    <w:p w14:paraId="64B3B71B" w14:textId="77777777" w:rsidR="00796925" w:rsidRDefault="00427167" w:rsidP="00427167">
      <w:pPr>
        <w:pStyle w:val="ListParagraph"/>
        <w:numPr>
          <w:ilvl w:val="0"/>
          <w:numId w:val="5"/>
        </w:numPr>
        <w:rPr>
          <w:sz w:val="24"/>
          <w:szCs w:val="24"/>
        </w:rPr>
      </w:pPr>
      <w:r>
        <w:rPr>
          <w:sz w:val="24"/>
          <w:szCs w:val="24"/>
        </w:rPr>
        <w:t xml:space="preserve">Around half of admissions were from the towns of West Bromwich or Smethwick (24.3% and 21.4% respectively).  </w:t>
      </w:r>
      <w:r w:rsidR="00796925">
        <w:rPr>
          <w:sz w:val="24"/>
          <w:szCs w:val="24"/>
        </w:rPr>
        <w:t>These towns are the largest in terms of population size, and are also within close proximity to hospitals.</w:t>
      </w:r>
    </w:p>
    <w:p w14:paraId="46008F7E" w14:textId="1997841B" w:rsidR="00427167" w:rsidRPr="006A6BFE" w:rsidRDefault="00427167" w:rsidP="00427167">
      <w:pPr>
        <w:pStyle w:val="ListParagraph"/>
        <w:numPr>
          <w:ilvl w:val="0"/>
          <w:numId w:val="5"/>
        </w:numPr>
        <w:rPr>
          <w:sz w:val="24"/>
          <w:szCs w:val="24"/>
        </w:rPr>
      </w:pPr>
      <w:r>
        <w:rPr>
          <w:sz w:val="24"/>
          <w:szCs w:val="24"/>
        </w:rPr>
        <w:t>Soho &amp; Victoria (7.4%) and Oldbury (6.8%) were the wards accounting for the highest proportion of emergency admissions.</w:t>
      </w:r>
    </w:p>
    <w:p w14:paraId="1E8D9F08" w14:textId="77777777" w:rsidR="00427167" w:rsidRPr="00580BD2" w:rsidRDefault="00427167" w:rsidP="00427167">
      <w:pPr>
        <w:rPr>
          <w:rFonts w:cstheme="majorHAnsi"/>
          <w:b/>
          <w:sz w:val="24"/>
          <w:szCs w:val="24"/>
          <w:u w:val="single"/>
        </w:rPr>
      </w:pPr>
    </w:p>
    <w:p w14:paraId="3A1AA99C" w14:textId="77777777" w:rsidR="00427167" w:rsidRPr="00866CAC" w:rsidRDefault="00427167" w:rsidP="005B1F6D">
      <w:pPr>
        <w:pStyle w:val="Heading2"/>
      </w:pPr>
      <w:bookmarkStart w:id="16" w:name="_Hlk13839104"/>
      <w:r w:rsidRPr="00866CAC">
        <w:t>Population vaccination coverage</w:t>
      </w:r>
    </w:p>
    <w:bookmarkEnd w:id="16"/>
    <w:p w14:paraId="2BE985E3" w14:textId="77777777" w:rsidR="00427167" w:rsidRPr="00052CE9" w:rsidRDefault="00427167" w:rsidP="00427167">
      <w:pPr>
        <w:rPr>
          <w:rFonts w:cstheme="minorHAnsi"/>
          <w:sz w:val="24"/>
          <w:szCs w:val="24"/>
          <w:lang w:val="en-US"/>
        </w:rPr>
      </w:pPr>
      <w:r w:rsidRPr="00052CE9">
        <w:rPr>
          <w:rFonts w:cstheme="minorHAnsi"/>
          <w:color w:val="1E1E1E"/>
          <w:sz w:val="24"/>
          <w:szCs w:val="24"/>
        </w:rPr>
        <w:t>The MMR vaccine gives protection against three serious diseases</w:t>
      </w:r>
      <w:r w:rsidRPr="00052CE9">
        <w:rPr>
          <w:rFonts w:cstheme="minorHAnsi"/>
          <w:sz w:val="24"/>
          <w:szCs w:val="24"/>
        </w:rPr>
        <w:t xml:space="preserve">: </w:t>
      </w:r>
      <w:hyperlink r:id="rId49" w:history="1">
        <w:r w:rsidRPr="00052CE9">
          <w:rPr>
            <w:rStyle w:val="Hyperlink"/>
            <w:rFonts w:cstheme="minorHAnsi"/>
            <w:color w:val="auto"/>
            <w:sz w:val="24"/>
            <w:szCs w:val="24"/>
            <w:u w:val="none"/>
          </w:rPr>
          <w:t>measles</w:t>
        </w:r>
      </w:hyperlink>
      <w:r w:rsidRPr="00052CE9">
        <w:rPr>
          <w:rFonts w:cstheme="minorHAnsi"/>
          <w:sz w:val="24"/>
          <w:szCs w:val="24"/>
        </w:rPr>
        <w:t xml:space="preserve">, </w:t>
      </w:r>
      <w:hyperlink r:id="rId50" w:history="1">
        <w:r w:rsidRPr="00052CE9">
          <w:rPr>
            <w:rStyle w:val="Hyperlink"/>
            <w:rFonts w:cstheme="minorHAnsi"/>
            <w:color w:val="auto"/>
            <w:sz w:val="24"/>
            <w:szCs w:val="24"/>
            <w:u w:val="none"/>
          </w:rPr>
          <w:t>mumps</w:t>
        </w:r>
      </w:hyperlink>
      <w:r w:rsidRPr="00052CE9">
        <w:rPr>
          <w:rFonts w:cstheme="minorHAnsi"/>
          <w:sz w:val="24"/>
          <w:szCs w:val="24"/>
        </w:rPr>
        <w:t xml:space="preserve">, and </w:t>
      </w:r>
      <w:hyperlink r:id="rId51" w:history="1">
        <w:r w:rsidRPr="00052CE9">
          <w:rPr>
            <w:rStyle w:val="Hyperlink"/>
            <w:rFonts w:cstheme="minorHAnsi"/>
            <w:color w:val="auto"/>
            <w:sz w:val="24"/>
            <w:szCs w:val="24"/>
            <w:u w:val="none"/>
          </w:rPr>
          <w:t>rubella</w:t>
        </w:r>
      </w:hyperlink>
      <w:r w:rsidRPr="00052CE9">
        <w:rPr>
          <w:rFonts w:cstheme="minorHAnsi"/>
          <w:sz w:val="24"/>
          <w:szCs w:val="24"/>
        </w:rPr>
        <w:t>. Before the introduction of vaccines, all three diseases were extremely common and most people had them at some point, usually as children. Although many people survived without long-term effects, others were left with serious disabilities and some children died. Complications of measles include fatal pneumonia and encephalitis (inflammation of the brain)</w:t>
      </w:r>
      <w:r>
        <w:rPr>
          <w:rFonts w:cstheme="minorHAnsi"/>
          <w:sz w:val="24"/>
          <w:szCs w:val="24"/>
        </w:rPr>
        <w:t>; m</w:t>
      </w:r>
      <w:r w:rsidRPr="00052CE9">
        <w:rPr>
          <w:rFonts w:cstheme="minorHAnsi"/>
          <w:sz w:val="24"/>
          <w:szCs w:val="24"/>
        </w:rPr>
        <w:t>umps can cause deafness and meningitis, and in the past rubella caused many babies to be born with serious abnormalities (known as Congenital Rubella Syndrome).</w:t>
      </w:r>
    </w:p>
    <w:p w14:paraId="38C2227E" w14:textId="77777777" w:rsidR="00427167" w:rsidRDefault="00427167" w:rsidP="00427167">
      <w:pPr>
        <w:rPr>
          <w:rFonts w:cstheme="minorHAnsi"/>
          <w:color w:val="000000"/>
          <w:sz w:val="24"/>
          <w:szCs w:val="24"/>
          <w:lang w:val="en-US"/>
        </w:rPr>
      </w:pPr>
      <w:r w:rsidRPr="00052CE9">
        <w:rPr>
          <w:rFonts w:cstheme="minorHAnsi"/>
          <w:sz w:val="24"/>
          <w:szCs w:val="24"/>
          <w:lang w:val="en-US"/>
        </w:rPr>
        <w:t xml:space="preserve">Three years after the </w:t>
      </w:r>
      <w:hyperlink r:id="rId52" w:history="1">
        <w:r w:rsidRPr="00052CE9">
          <w:rPr>
            <w:rStyle w:val="Hyperlink"/>
            <w:rFonts w:cstheme="minorHAnsi"/>
            <w:color w:val="auto"/>
            <w:sz w:val="24"/>
            <w:szCs w:val="24"/>
            <w:u w:val="none"/>
            <w:lang w:val="en-US"/>
          </w:rPr>
          <w:t>measles virus</w:t>
        </w:r>
      </w:hyperlink>
      <w:r w:rsidRPr="00052CE9">
        <w:rPr>
          <w:rFonts w:cstheme="minorHAnsi"/>
          <w:sz w:val="24"/>
          <w:szCs w:val="24"/>
          <w:lang w:val="en-US"/>
        </w:rPr>
        <w:t xml:space="preserve"> </w:t>
      </w:r>
      <w:r w:rsidRPr="00052CE9">
        <w:rPr>
          <w:rFonts w:cstheme="minorHAnsi"/>
          <w:color w:val="000000"/>
          <w:sz w:val="24"/>
          <w:szCs w:val="24"/>
          <w:lang w:val="en-US"/>
        </w:rPr>
        <w:t>was eliminated from the UK, the country has lost its “measles-free” status with the World Health Organization, following 231 confirmed cases of the infection in the first quarter of 2019.</w:t>
      </w:r>
    </w:p>
    <w:p w14:paraId="0AB20B20" w14:textId="77777777" w:rsidR="00427167" w:rsidRDefault="00427167" w:rsidP="00427167">
      <w:pPr>
        <w:rPr>
          <w:rFonts w:cs="Arial"/>
          <w:color w:val="333333"/>
          <w:sz w:val="24"/>
          <w:szCs w:val="24"/>
          <w:shd w:val="clear" w:color="auto" w:fill="FFFFFF"/>
        </w:rPr>
      </w:pPr>
      <w:r w:rsidRPr="00052CE9">
        <w:rPr>
          <w:rFonts w:cstheme="minorHAnsi"/>
          <w:sz w:val="24"/>
          <w:szCs w:val="24"/>
          <w:lang w:val="en"/>
        </w:rPr>
        <w:t>P</w:t>
      </w:r>
      <w:r>
        <w:rPr>
          <w:rFonts w:cstheme="minorHAnsi"/>
          <w:sz w:val="24"/>
          <w:szCs w:val="24"/>
          <w:lang w:val="en"/>
        </w:rPr>
        <w:t xml:space="preserve">ublic Health </w:t>
      </w:r>
      <w:r w:rsidRPr="00052CE9">
        <w:rPr>
          <w:rFonts w:cstheme="minorHAnsi"/>
          <w:sz w:val="24"/>
          <w:szCs w:val="24"/>
          <w:lang w:val="en"/>
        </w:rPr>
        <w:t>E</w:t>
      </w:r>
      <w:r>
        <w:rPr>
          <w:rFonts w:cstheme="minorHAnsi"/>
          <w:sz w:val="24"/>
          <w:szCs w:val="24"/>
          <w:lang w:val="en"/>
        </w:rPr>
        <w:t>ngland have now</w:t>
      </w:r>
      <w:r w:rsidRPr="00052CE9">
        <w:rPr>
          <w:rFonts w:cstheme="minorHAnsi"/>
          <w:sz w:val="24"/>
          <w:szCs w:val="24"/>
          <w:lang w:val="en"/>
        </w:rPr>
        <w:t xml:space="preserve"> urged parents to check their children had had the full set of vaccinations. </w:t>
      </w:r>
      <w:r>
        <w:rPr>
          <w:rFonts w:ascii="Arial" w:hAnsi="Arial" w:cs="Arial"/>
          <w:color w:val="000000"/>
          <w:lang w:val="en-US"/>
        </w:rPr>
        <w:br/>
      </w:r>
    </w:p>
    <w:p w14:paraId="6B618BCF" w14:textId="77777777" w:rsidR="00427167" w:rsidRPr="00580BD2" w:rsidRDefault="00427167" w:rsidP="00427167">
      <w:pPr>
        <w:rPr>
          <w:rFonts w:cs="Arial"/>
          <w:color w:val="333333"/>
          <w:sz w:val="24"/>
          <w:szCs w:val="24"/>
          <w:shd w:val="clear" w:color="auto" w:fill="FFFFFF"/>
        </w:rPr>
      </w:pPr>
      <w:r>
        <w:rPr>
          <w:rFonts w:cs="Arial"/>
          <w:color w:val="333333"/>
          <w:sz w:val="24"/>
          <w:szCs w:val="24"/>
          <w:shd w:val="clear" w:color="auto" w:fill="FFFFFF"/>
        </w:rPr>
        <w:t>This vaccination indicator relates to a</w:t>
      </w:r>
      <w:r w:rsidRPr="00580BD2">
        <w:rPr>
          <w:rFonts w:cs="Arial"/>
          <w:color w:val="333333"/>
          <w:sz w:val="24"/>
          <w:szCs w:val="24"/>
          <w:shd w:val="clear" w:color="auto" w:fill="FFFFFF"/>
        </w:rPr>
        <w:t>ll children for whom the local authority is responsible who received two doses of MMR on or after their first birthday and at any time up to their fifth birthday</w:t>
      </w:r>
      <w:r>
        <w:rPr>
          <w:rFonts w:cs="Arial"/>
          <w:color w:val="333333"/>
          <w:sz w:val="24"/>
          <w:szCs w:val="24"/>
          <w:shd w:val="clear" w:color="auto" w:fill="FFFFFF"/>
        </w:rPr>
        <w:t>,</w:t>
      </w:r>
      <w:r w:rsidRPr="00580BD2">
        <w:rPr>
          <w:rFonts w:cs="Arial"/>
          <w:color w:val="333333"/>
          <w:sz w:val="24"/>
          <w:szCs w:val="24"/>
          <w:shd w:val="clear" w:color="auto" w:fill="FFFFFF"/>
        </w:rPr>
        <w:t xml:space="preserve"> as a percentage of all children whose fifth birthday falls within the period.</w:t>
      </w:r>
    </w:p>
    <w:p w14:paraId="183D8574" w14:textId="7260DB6B" w:rsidR="00427167" w:rsidRPr="001840B0" w:rsidRDefault="00427167" w:rsidP="00427167">
      <w:pPr>
        <w:pStyle w:val="ListParagraph"/>
        <w:numPr>
          <w:ilvl w:val="0"/>
          <w:numId w:val="5"/>
        </w:numPr>
        <w:rPr>
          <w:rFonts w:cstheme="majorHAnsi"/>
          <w:sz w:val="24"/>
          <w:szCs w:val="24"/>
          <w:u w:val="single"/>
        </w:rPr>
      </w:pPr>
      <w:r w:rsidRPr="001840B0">
        <w:rPr>
          <w:rFonts w:cstheme="majorHAnsi"/>
          <w:sz w:val="24"/>
          <w:szCs w:val="24"/>
        </w:rPr>
        <w:t>For 20</w:t>
      </w:r>
      <w:r w:rsidR="00427FA0">
        <w:rPr>
          <w:rFonts w:cstheme="majorHAnsi"/>
          <w:sz w:val="24"/>
          <w:szCs w:val="24"/>
        </w:rPr>
        <w:t>20</w:t>
      </w:r>
      <w:r w:rsidRPr="001840B0">
        <w:rPr>
          <w:rFonts w:cstheme="majorHAnsi"/>
          <w:sz w:val="24"/>
          <w:szCs w:val="24"/>
        </w:rPr>
        <w:t>/</w:t>
      </w:r>
      <w:r w:rsidR="00427FA0">
        <w:rPr>
          <w:rFonts w:cstheme="majorHAnsi"/>
          <w:sz w:val="24"/>
          <w:szCs w:val="24"/>
        </w:rPr>
        <w:t>21</w:t>
      </w:r>
      <w:r w:rsidRPr="001840B0">
        <w:rPr>
          <w:rFonts w:cstheme="majorHAnsi"/>
          <w:sz w:val="24"/>
          <w:szCs w:val="24"/>
        </w:rPr>
        <w:t xml:space="preserve"> – the coverage for Sandwell (8</w:t>
      </w:r>
      <w:r w:rsidR="00206744">
        <w:rPr>
          <w:rFonts w:cstheme="majorHAnsi"/>
          <w:sz w:val="24"/>
          <w:szCs w:val="24"/>
        </w:rPr>
        <w:t>2</w:t>
      </w:r>
      <w:r w:rsidRPr="001840B0">
        <w:rPr>
          <w:rFonts w:cstheme="majorHAnsi"/>
          <w:sz w:val="24"/>
          <w:szCs w:val="24"/>
        </w:rPr>
        <w:t>.</w:t>
      </w:r>
      <w:r w:rsidR="00206744">
        <w:rPr>
          <w:rFonts w:cstheme="majorHAnsi"/>
          <w:sz w:val="24"/>
          <w:szCs w:val="24"/>
        </w:rPr>
        <w:t>6</w:t>
      </w:r>
      <w:r w:rsidRPr="001840B0">
        <w:rPr>
          <w:rFonts w:cstheme="majorHAnsi"/>
          <w:sz w:val="24"/>
          <w:szCs w:val="24"/>
        </w:rPr>
        <w:t>%) compares with England (8</w:t>
      </w:r>
      <w:r w:rsidR="00443D94">
        <w:rPr>
          <w:rFonts w:cstheme="majorHAnsi"/>
          <w:sz w:val="24"/>
          <w:szCs w:val="24"/>
        </w:rPr>
        <w:t>6</w:t>
      </w:r>
      <w:r w:rsidRPr="001840B0">
        <w:rPr>
          <w:rFonts w:cstheme="majorHAnsi"/>
          <w:sz w:val="24"/>
          <w:szCs w:val="24"/>
        </w:rPr>
        <w:t>.</w:t>
      </w:r>
      <w:r w:rsidR="00443D94">
        <w:rPr>
          <w:rFonts w:cstheme="majorHAnsi"/>
          <w:sz w:val="24"/>
          <w:szCs w:val="24"/>
        </w:rPr>
        <w:t>6</w:t>
      </w:r>
      <w:r w:rsidRPr="001840B0">
        <w:rPr>
          <w:rFonts w:cstheme="majorHAnsi"/>
          <w:sz w:val="24"/>
          <w:szCs w:val="24"/>
        </w:rPr>
        <w:t>%) and the West Midlands (8</w:t>
      </w:r>
      <w:r w:rsidR="00443D94">
        <w:rPr>
          <w:rFonts w:cstheme="majorHAnsi"/>
          <w:sz w:val="24"/>
          <w:szCs w:val="24"/>
        </w:rPr>
        <w:t>5</w:t>
      </w:r>
      <w:r w:rsidRPr="001840B0">
        <w:rPr>
          <w:rFonts w:cstheme="majorHAnsi"/>
          <w:sz w:val="24"/>
          <w:szCs w:val="24"/>
        </w:rPr>
        <w:t>.6%</w:t>
      </w:r>
      <w:r w:rsidR="00206744" w:rsidRPr="001840B0">
        <w:rPr>
          <w:rFonts w:cstheme="majorHAnsi"/>
          <w:sz w:val="24"/>
          <w:szCs w:val="24"/>
        </w:rPr>
        <w:t>)</w:t>
      </w:r>
      <w:r w:rsidRPr="001840B0">
        <w:rPr>
          <w:rFonts w:cstheme="majorHAnsi"/>
          <w:sz w:val="24"/>
          <w:szCs w:val="24"/>
        </w:rPr>
        <w:t xml:space="preserve"> and is </w:t>
      </w:r>
      <w:r>
        <w:rPr>
          <w:rFonts w:cstheme="majorHAnsi"/>
          <w:sz w:val="24"/>
          <w:szCs w:val="24"/>
        </w:rPr>
        <w:t>s</w:t>
      </w:r>
      <w:r w:rsidRPr="001840B0">
        <w:rPr>
          <w:rFonts w:cstheme="majorHAnsi"/>
          <w:sz w:val="24"/>
          <w:szCs w:val="24"/>
        </w:rPr>
        <w:t xml:space="preserve">tatistically worse than </w:t>
      </w:r>
      <w:r>
        <w:rPr>
          <w:rFonts w:cstheme="majorHAnsi"/>
          <w:sz w:val="24"/>
          <w:szCs w:val="24"/>
        </w:rPr>
        <w:t>these comparators.</w:t>
      </w:r>
    </w:p>
    <w:p w14:paraId="1000FB49" w14:textId="77777777" w:rsidR="002E40AE" w:rsidRPr="002E40AE" w:rsidRDefault="00427167" w:rsidP="005B1F6D">
      <w:pPr>
        <w:pStyle w:val="ListParagraph"/>
        <w:numPr>
          <w:ilvl w:val="0"/>
          <w:numId w:val="5"/>
        </w:numPr>
        <w:rPr>
          <w:rFonts w:cstheme="majorHAnsi"/>
          <w:sz w:val="24"/>
          <w:szCs w:val="24"/>
          <w:u w:val="single"/>
        </w:rPr>
      </w:pPr>
      <w:r w:rsidRPr="00580BD2">
        <w:rPr>
          <w:rFonts w:cstheme="majorHAnsi"/>
          <w:sz w:val="24"/>
          <w:szCs w:val="24"/>
        </w:rPr>
        <w:t>Inc</w:t>
      </w:r>
      <w:r>
        <w:rPr>
          <w:rFonts w:cstheme="majorHAnsi"/>
          <w:sz w:val="24"/>
          <w:szCs w:val="24"/>
        </w:rPr>
        <w:t>reasing trend over past 5 years.</w:t>
      </w:r>
      <w:bookmarkStart w:id="17" w:name="_Hlk13839182"/>
      <w:bookmarkStart w:id="18" w:name="_Hlk13777161"/>
    </w:p>
    <w:p w14:paraId="061C82CD" w14:textId="49537D64" w:rsidR="0006334D" w:rsidRPr="002E40AE" w:rsidRDefault="002E40AE" w:rsidP="002E40AE">
      <w:pPr>
        <w:pStyle w:val="Heading2"/>
        <w:rPr>
          <w:rFonts w:cstheme="majorHAnsi"/>
          <w:sz w:val="24"/>
          <w:szCs w:val="24"/>
          <w:u w:val="single"/>
        </w:rPr>
      </w:pPr>
      <w:r>
        <w:br/>
      </w:r>
      <w:r w:rsidR="0006334D">
        <w:t>Child Development</w:t>
      </w:r>
    </w:p>
    <w:p w14:paraId="739E387A" w14:textId="4E8D16F9" w:rsidR="002E40AE" w:rsidRPr="002E40AE" w:rsidRDefault="002E40AE" w:rsidP="002E40AE">
      <w:pPr>
        <w:rPr>
          <w:sz w:val="24"/>
          <w:szCs w:val="24"/>
        </w:rPr>
      </w:pPr>
      <w:r w:rsidRPr="002E40AE">
        <w:rPr>
          <w:sz w:val="24"/>
          <w:szCs w:val="24"/>
        </w:rPr>
        <w:t>Healthy pregnancy, good parenting and good early years provision are essential foundations for healthy development and achievement of a child.  The early years are highly influential for a child’s future outcomes in life. Children who do not achieve a good level of development by the age of five will often struggle with reading, maths, social and physical skills leading to long term impacts on their educational attainment and health.   Growing up in areas such as Sandwell where poverty and deprivation is ranked so high, makes it harder for children to reach their potentials.</w:t>
      </w:r>
    </w:p>
    <w:p w14:paraId="1C973716" w14:textId="275B4621" w:rsidR="00427167" w:rsidRPr="009F0909" w:rsidRDefault="00427167" w:rsidP="005B1F6D">
      <w:pPr>
        <w:pStyle w:val="Heading2"/>
      </w:pPr>
      <w:r w:rsidRPr="009F0909">
        <w:t>Proportion of children aged 2-2½yrs receiving ASQ-3</w:t>
      </w:r>
    </w:p>
    <w:bookmarkEnd w:id="17"/>
    <w:bookmarkEnd w:id="18"/>
    <w:p w14:paraId="70291657" w14:textId="77777777" w:rsidR="00427167" w:rsidRPr="00C5520A" w:rsidRDefault="00427167" w:rsidP="00427167">
      <w:pPr>
        <w:rPr>
          <w:rFonts w:cstheme="minorHAnsi"/>
          <w:color w:val="333333"/>
          <w:sz w:val="24"/>
          <w:szCs w:val="24"/>
          <w:shd w:val="clear" w:color="auto" w:fill="FFFFFF"/>
        </w:rPr>
      </w:pPr>
      <w:r w:rsidRPr="00C5520A">
        <w:rPr>
          <w:rFonts w:cstheme="minorHAnsi"/>
          <w:sz w:val="24"/>
          <w:szCs w:val="24"/>
        </w:rPr>
        <w:t>ASQ-3 is a set of questionnaires about children’s development from 2 to 60 months which can be self-administered by parents/caregivers. </w:t>
      </w:r>
      <w:r>
        <w:rPr>
          <w:rFonts w:cstheme="minorHAnsi"/>
          <w:sz w:val="24"/>
          <w:szCs w:val="24"/>
        </w:rPr>
        <w:t>T</w:t>
      </w:r>
      <w:r w:rsidRPr="00C5520A">
        <w:rPr>
          <w:rFonts w:cstheme="minorHAnsi"/>
          <w:sz w:val="24"/>
          <w:szCs w:val="24"/>
        </w:rPr>
        <w:t>his screening provides a quick look at how children are doing in important areas, such as communication, physical ability, social skills, and problem-solving skills. ASQ-3 can help identify a child’s strengths as well as any areas where the child may need support. It helps to identify when a referral to health professionals is needed.</w:t>
      </w:r>
    </w:p>
    <w:p w14:paraId="734AEF27" w14:textId="41A4D5AB" w:rsidR="00427167" w:rsidRPr="00C5520A" w:rsidRDefault="00427167" w:rsidP="00427167">
      <w:pPr>
        <w:rPr>
          <w:rFonts w:cstheme="majorHAnsi"/>
          <w:sz w:val="24"/>
          <w:szCs w:val="24"/>
          <w:u w:val="single"/>
        </w:rPr>
      </w:pPr>
      <w:r>
        <w:rPr>
          <w:rFonts w:cstheme="majorHAnsi"/>
          <w:sz w:val="24"/>
          <w:szCs w:val="24"/>
        </w:rPr>
        <w:t xml:space="preserve">In </w:t>
      </w:r>
      <w:r w:rsidRPr="00C5520A">
        <w:rPr>
          <w:rFonts w:cstheme="majorHAnsi"/>
          <w:sz w:val="24"/>
          <w:szCs w:val="24"/>
        </w:rPr>
        <w:t>20</w:t>
      </w:r>
      <w:r w:rsidR="00F715CD">
        <w:rPr>
          <w:rFonts w:cstheme="majorHAnsi"/>
          <w:sz w:val="24"/>
          <w:szCs w:val="24"/>
        </w:rPr>
        <w:t>20</w:t>
      </w:r>
      <w:r w:rsidRPr="00C5520A">
        <w:rPr>
          <w:rFonts w:cstheme="majorHAnsi"/>
          <w:sz w:val="24"/>
          <w:szCs w:val="24"/>
        </w:rPr>
        <w:t>/</w:t>
      </w:r>
      <w:r w:rsidR="00F715CD">
        <w:rPr>
          <w:rFonts w:cstheme="majorHAnsi"/>
          <w:sz w:val="24"/>
          <w:szCs w:val="24"/>
        </w:rPr>
        <w:t>21</w:t>
      </w:r>
      <w:r>
        <w:rPr>
          <w:rFonts w:cstheme="majorHAnsi"/>
          <w:sz w:val="24"/>
          <w:szCs w:val="24"/>
        </w:rPr>
        <w:t xml:space="preserve">, </w:t>
      </w:r>
      <w:r w:rsidRPr="00C5520A">
        <w:rPr>
          <w:rFonts w:cstheme="majorHAnsi"/>
          <w:sz w:val="24"/>
          <w:szCs w:val="24"/>
        </w:rPr>
        <w:t>9</w:t>
      </w:r>
      <w:r w:rsidR="00F715CD">
        <w:rPr>
          <w:rFonts w:cstheme="majorHAnsi"/>
          <w:sz w:val="24"/>
          <w:szCs w:val="24"/>
        </w:rPr>
        <w:t>8.8</w:t>
      </w:r>
      <w:r w:rsidRPr="00C5520A">
        <w:rPr>
          <w:rFonts w:cstheme="majorHAnsi"/>
          <w:sz w:val="24"/>
          <w:szCs w:val="24"/>
        </w:rPr>
        <w:t>% of Sandwell children received their 2</w:t>
      </w:r>
      <w:r>
        <w:rPr>
          <w:rFonts w:ascii="Calibri" w:hAnsi="Calibri" w:cs="Calibri"/>
          <w:sz w:val="24"/>
          <w:szCs w:val="24"/>
        </w:rPr>
        <w:t>⅟</w:t>
      </w:r>
      <w:r w:rsidRPr="00932EC9">
        <w:rPr>
          <w:rFonts w:cstheme="majorHAnsi"/>
          <w:b/>
          <w:sz w:val="22"/>
          <w:szCs w:val="22"/>
          <w:vertAlign w:val="subscript"/>
        </w:rPr>
        <w:t>2</w:t>
      </w:r>
      <w:r w:rsidRPr="00432DC4">
        <w:rPr>
          <w:rFonts w:cstheme="majorHAnsi"/>
          <w:sz w:val="24"/>
          <w:szCs w:val="24"/>
        </w:rPr>
        <w:t xml:space="preserve"> </w:t>
      </w:r>
      <w:r w:rsidRPr="00C5520A">
        <w:rPr>
          <w:rFonts w:cstheme="majorHAnsi"/>
          <w:sz w:val="24"/>
          <w:szCs w:val="24"/>
        </w:rPr>
        <w:t>year check</w:t>
      </w:r>
      <w:r>
        <w:rPr>
          <w:rFonts w:cstheme="majorHAnsi"/>
          <w:sz w:val="24"/>
          <w:szCs w:val="24"/>
        </w:rPr>
        <w:t xml:space="preserve">. This compares with </w:t>
      </w:r>
      <w:r w:rsidRPr="00C5520A">
        <w:rPr>
          <w:rFonts w:cstheme="majorHAnsi"/>
          <w:sz w:val="24"/>
          <w:szCs w:val="24"/>
        </w:rPr>
        <w:t>England (</w:t>
      </w:r>
      <w:r w:rsidR="00F715CD">
        <w:rPr>
          <w:rFonts w:cstheme="majorHAnsi"/>
          <w:sz w:val="24"/>
          <w:szCs w:val="24"/>
        </w:rPr>
        <w:t>85</w:t>
      </w:r>
      <w:r w:rsidRPr="00C5520A">
        <w:rPr>
          <w:rFonts w:cstheme="majorHAnsi"/>
          <w:sz w:val="24"/>
          <w:szCs w:val="24"/>
        </w:rPr>
        <w:t>.2%)</w:t>
      </w:r>
      <w:r>
        <w:rPr>
          <w:rFonts w:cstheme="majorHAnsi"/>
          <w:sz w:val="24"/>
          <w:szCs w:val="24"/>
        </w:rPr>
        <w:t xml:space="preserve"> and the </w:t>
      </w:r>
      <w:r w:rsidRPr="00C5520A">
        <w:rPr>
          <w:rFonts w:cstheme="majorHAnsi"/>
          <w:sz w:val="24"/>
          <w:szCs w:val="24"/>
        </w:rPr>
        <w:t>West Midlands (9</w:t>
      </w:r>
      <w:r w:rsidR="00F715CD">
        <w:rPr>
          <w:rFonts w:cstheme="majorHAnsi"/>
          <w:sz w:val="24"/>
          <w:szCs w:val="24"/>
        </w:rPr>
        <w:t>2</w:t>
      </w:r>
      <w:r w:rsidRPr="00C5520A">
        <w:rPr>
          <w:rFonts w:cstheme="majorHAnsi"/>
          <w:sz w:val="24"/>
          <w:szCs w:val="24"/>
        </w:rPr>
        <w:t>.3%).</w:t>
      </w:r>
    </w:p>
    <w:p w14:paraId="1CC5AC92" w14:textId="77777777" w:rsidR="00427167" w:rsidRPr="00C5520A" w:rsidRDefault="00427167" w:rsidP="00427167">
      <w:pPr>
        <w:pStyle w:val="ListParagraph"/>
        <w:numPr>
          <w:ilvl w:val="0"/>
          <w:numId w:val="5"/>
        </w:numPr>
        <w:rPr>
          <w:rFonts w:cstheme="majorHAnsi"/>
          <w:sz w:val="24"/>
          <w:szCs w:val="24"/>
          <w:u w:val="single"/>
        </w:rPr>
      </w:pPr>
      <w:r>
        <w:rPr>
          <w:rFonts w:cstheme="majorHAnsi"/>
          <w:sz w:val="24"/>
          <w:szCs w:val="24"/>
        </w:rPr>
        <w:t>Sandwell’s coverage is s</w:t>
      </w:r>
      <w:r w:rsidRPr="00580BD2">
        <w:rPr>
          <w:rFonts w:cstheme="majorHAnsi"/>
          <w:sz w:val="24"/>
          <w:szCs w:val="24"/>
        </w:rPr>
        <w:t>ignificantly higher coverage than England and West Midlands</w:t>
      </w:r>
      <w:r>
        <w:rPr>
          <w:rFonts w:cstheme="majorHAnsi"/>
          <w:sz w:val="24"/>
          <w:szCs w:val="24"/>
        </w:rPr>
        <w:t>.</w:t>
      </w:r>
    </w:p>
    <w:p w14:paraId="667A2B30" w14:textId="2F8ABA25" w:rsidR="00427167" w:rsidRPr="00580BD2" w:rsidRDefault="00427167" w:rsidP="00427167">
      <w:pPr>
        <w:pStyle w:val="ListParagraph"/>
        <w:numPr>
          <w:ilvl w:val="0"/>
          <w:numId w:val="5"/>
        </w:numPr>
        <w:rPr>
          <w:rFonts w:cstheme="majorHAnsi"/>
          <w:sz w:val="24"/>
          <w:szCs w:val="24"/>
          <w:u w:val="single"/>
        </w:rPr>
      </w:pPr>
      <w:r w:rsidRPr="00580BD2">
        <w:rPr>
          <w:rFonts w:cstheme="majorHAnsi"/>
          <w:sz w:val="24"/>
          <w:szCs w:val="24"/>
        </w:rPr>
        <w:t>Herefordshire achieve</w:t>
      </w:r>
      <w:r w:rsidR="003C1A05">
        <w:rPr>
          <w:rFonts w:cstheme="majorHAnsi"/>
          <w:sz w:val="24"/>
          <w:szCs w:val="24"/>
        </w:rPr>
        <w:t>d</w:t>
      </w:r>
      <w:r w:rsidRPr="00580BD2">
        <w:rPr>
          <w:rFonts w:cstheme="majorHAnsi"/>
          <w:sz w:val="24"/>
          <w:szCs w:val="24"/>
        </w:rPr>
        <w:t xml:space="preserve"> a 100% coverage</w:t>
      </w:r>
      <w:r>
        <w:rPr>
          <w:rFonts w:cstheme="majorHAnsi"/>
          <w:sz w:val="24"/>
          <w:szCs w:val="24"/>
        </w:rPr>
        <w:t>.</w:t>
      </w:r>
    </w:p>
    <w:p w14:paraId="77D7BB95" w14:textId="709F3847" w:rsidR="00427167" w:rsidRPr="00580BD2" w:rsidRDefault="006430AB" w:rsidP="00427167">
      <w:pPr>
        <w:rPr>
          <w:rFonts w:cstheme="majorHAnsi"/>
          <w:sz w:val="24"/>
          <w:szCs w:val="24"/>
          <w:u w:val="single"/>
        </w:rPr>
      </w:pPr>
      <w:r>
        <w:rPr>
          <w:rFonts w:cstheme="majorHAnsi"/>
          <w:b/>
          <w:sz w:val="24"/>
          <w:szCs w:val="24"/>
        </w:rPr>
        <w:br/>
      </w:r>
      <w:r w:rsidR="00427167">
        <w:rPr>
          <w:rFonts w:cstheme="majorHAnsi"/>
          <w:b/>
          <w:sz w:val="24"/>
          <w:szCs w:val="24"/>
        </w:rPr>
        <w:t>Figure 2.8</w:t>
      </w:r>
    </w:p>
    <w:p w14:paraId="2A443998" w14:textId="1C308E16" w:rsidR="00427167" w:rsidRPr="00580BD2" w:rsidRDefault="00C96BBB" w:rsidP="00427167">
      <w:pPr>
        <w:rPr>
          <w:rFonts w:cstheme="majorHAnsi"/>
          <w:sz w:val="24"/>
          <w:szCs w:val="24"/>
          <w:u w:val="single"/>
        </w:rPr>
      </w:pPr>
      <w:r w:rsidRPr="00C96BBB">
        <w:rPr>
          <w:rFonts w:cstheme="majorHAnsi"/>
          <w:noProof/>
          <w:sz w:val="24"/>
          <w:szCs w:val="24"/>
        </w:rPr>
        <w:drawing>
          <wp:inline distT="0" distB="0" distL="0" distR="0" wp14:anchorId="65D2D1D9" wp14:editId="16D1F324">
            <wp:extent cx="3848431" cy="230667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54520" cy="2310321"/>
                    </a:xfrm>
                    <a:prstGeom prst="rect">
                      <a:avLst/>
                    </a:prstGeom>
                  </pic:spPr>
                </pic:pic>
              </a:graphicData>
            </a:graphic>
          </wp:inline>
        </w:drawing>
      </w:r>
    </w:p>
    <w:p w14:paraId="16623671" w14:textId="77777777" w:rsidR="00427167" w:rsidRPr="009F0909" w:rsidRDefault="00427167" w:rsidP="00427167">
      <w:pPr>
        <w:rPr>
          <w:rFonts w:cstheme="majorHAnsi"/>
          <w:sz w:val="24"/>
          <w:szCs w:val="24"/>
          <w:u w:val="single"/>
        </w:rPr>
      </w:pPr>
      <w:r w:rsidRPr="009F0909">
        <w:rPr>
          <w:rFonts w:cstheme="majorHAnsi"/>
          <w:sz w:val="24"/>
          <w:szCs w:val="24"/>
        </w:rPr>
        <w:t>Source: Public Health England Profiles</w:t>
      </w:r>
    </w:p>
    <w:p w14:paraId="449931F0" w14:textId="77777777" w:rsidR="00427167" w:rsidRDefault="00427167" w:rsidP="00427167">
      <w:pPr>
        <w:pStyle w:val="Default"/>
        <w:rPr>
          <w:rFonts w:asciiTheme="minorHAnsi" w:hAnsiTheme="minorHAnsi" w:cstheme="majorHAnsi"/>
          <w:color w:val="auto"/>
        </w:rPr>
      </w:pPr>
    </w:p>
    <w:p w14:paraId="3AB1A3CB" w14:textId="29C34E22" w:rsidR="00427167" w:rsidRPr="00580BD2" w:rsidRDefault="00427167" w:rsidP="00427167">
      <w:pPr>
        <w:pStyle w:val="Default"/>
        <w:rPr>
          <w:rFonts w:asciiTheme="minorHAnsi" w:hAnsiTheme="minorHAnsi" w:cstheme="majorHAnsi"/>
          <w:color w:val="auto"/>
        </w:rPr>
      </w:pPr>
      <w:bookmarkStart w:id="19" w:name="_Hlk13839191"/>
      <w:r w:rsidRPr="00580BD2">
        <w:rPr>
          <w:rFonts w:asciiTheme="minorHAnsi" w:hAnsiTheme="minorHAnsi" w:cstheme="majorHAnsi"/>
          <w:color w:val="auto"/>
        </w:rPr>
        <w:t xml:space="preserve">Sandwell health visiting teams are actively using the </w:t>
      </w:r>
      <w:r w:rsidRPr="00580BD2">
        <w:rPr>
          <w:rFonts w:asciiTheme="minorHAnsi" w:hAnsiTheme="minorHAnsi" w:cstheme="majorHAnsi"/>
          <w:color w:val="auto"/>
          <w:lang w:val="en-US"/>
        </w:rPr>
        <w:t xml:space="preserve">Ages &amp; Stages Questionnaires, Third Edition (ASQ-3) as a tool to assess </w:t>
      </w:r>
      <w:r w:rsidRPr="00580BD2">
        <w:rPr>
          <w:rFonts w:asciiTheme="minorHAnsi" w:hAnsiTheme="minorHAnsi" w:cstheme="majorHAnsi"/>
          <w:color w:val="auto"/>
        </w:rPr>
        <w:t>five domains of child development: communication, gross motor skills, fine motor skills, problem solving and personal-social development.</w:t>
      </w:r>
    </w:p>
    <w:p w14:paraId="4BE56C53" w14:textId="77777777" w:rsidR="00427167" w:rsidRPr="00580BD2" w:rsidRDefault="00427167" w:rsidP="00427167">
      <w:pPr>
        <w:pStyle w:val="Default"/>
        <w:rPr>
          <w:rFonts w:asciiTheme="minorHAnsi" w:hAnsiTheme="minorHAnsi" w:cstheme="majorHAnsi"/>
        </w:rPr>
      </w:pPr>
    </w:p>
    <w:p w14:paraId="3ECF4E9B" w14:textId="69D3D1AF" w:rsidR="00817CEC" w:rsidRDefault="002E40AE" w:rsidP="00817CEC">
      <w:pPr>
        <w:pStyle w:val="Heading2"/>
      </w:pPr>
      <w:r>
        <w:t>Ready for School</w:t>
      </w:r>
    </w:p>
    <w:p w14:paraId="44B41462" w14:textId="77777777" w:rsidR="00817CEC" w:rsidRDefault="00817CEC" w:rsidP="00817CEC">
      <w:pPr>
        <w:jc w:val="both"/>
        <w:rPr>
          <w:rFonts w:cstheme="majorHAnsi"/>
          <w:sz w:val="24"/>
          <w:szCs w:val="24"/>
        </w:rPr>
      </w:pPr>
      <w:r w:rsidRPr="00AD04EA">
        <w:rPr>
          <w:rFonts w:cstheme="majorHAnsi"/>
          <w:sz w:val="24"/>
          <w:szCs w:val="24"/>
        </w:rPr>
        <w:t>An Ofsted review of local authorities in 2014</w:t>
      </w:r>
      <w:r w:rsidRPr="00AD04EA">
        <w:rPr>
          <w:rStyle w:val="FootnoteReference"/>
          <w:rFonts w:cstheme="majorHAnsi"/>
          <w:sz w:val="24"/>
          <w:szCs w:val="24"/>
        </w:rPr>
        <w:footnoteReference w:id="2"/>
      </w:r>
      <w:r w:rsidRPr="00AD04EA">
        <w:rPr>
          <w:rFonts w:cstheme="majorHAnsi"/>
          <w:sz w:val="24"/>
          <w:szCs w:val="24"/>
        </w:rPr>
        <w:t xml:space="preserve"> reported that that there is no nationally agreed definition for the term ‘school readiness’. </w:t>
      </w:r>
    </w:p>
    <w:p w14:paraId="69AC9EC1" w14:textId="5EAA4208" w:rsidR="00817CEC" w:rsidRPr="00AD04EA" w:rsidRDefault="00817CEC" w:rsidP="00817CEC">
      <w:pPr>
        <w:rPr>
          <w:rFonts w:cstheme="majorHAnsi"/>
          <w:sz w:val="24"/>
          <w:szCs w:val="24"/>
        </w:rPr>
      </w:pPr>
      <w:r w:rsidRPr="00AD04EA">
        <w:rPr>
          <w:rFonts w:cstheme="majorHAnsi"/>
          <w:sz w:val="24"/>
          <w:szCs w:val="24"/>
          <w:lang w:val="en"/>
        </w:rPr>
        <w:t>As part of the Early Years Foundation Stage statutory framework</w:t>
      </w:r>
      <w:r w:rsidRPr="00AD04EA">
        <w:rPr>
          <w:rStyle w:val="FootnoteReference"/>
          <w:rFonts w:cstheme="majorHAnsi"/>
          <w:sz w:val="24"/>
          <w:szCs w:val="24"/>
          <w:lang w:val="en"/>
        </w:rPr>
        <w:footnoteReference w:id="3"/>
      </w:r>
      <w:r w:rsidRPr="00AD04EA">
        <w:rPr>
          <w:rFonts w:cstheme="majorHAnsi"/>
          <w:sz w:val="24"/>
          <w:szCs w:val="24"/>
          <w:lang w:val="en"/>
        </w:rPr>
        <w:t xml:space="preserve">, school readiness is a </w:t>
      </w:r>
      <w:r w:rsidRPr="00AD04EA">
        <w:rPr>
          <w:rFonts w:cstheme="majorHAnsi"/>
          <w:sz w:val="24"/>
          <w:szCs w:val="24"/>
        </w:rPr>
        <w:t xml:space="preserve">key measure of early years development across a wide range of developmental areas.  As shown in </w:t>
      </w:r>
      <w:r>
        <w:rPr>
          <w:rFonts w:cstheme="majorHAnsi"/>
          <w:sz w:val="24"/>
          <w:szCs w:val="24"/>
        </w:rPr>
        <w:t>T</w:t>
      </w:r>
      <w:r w:rsidRPr="00AD04EA">
        <w:rPr>
          <w:rFonts w:cstheme="majorHAnsi"/>
          <w:sz w:val="24"/>
          <w:szCs w:val="24"/>
        </w:rPr>
        <w:t xml:space="preserve">able 1 </w:t>
      </w:r>
      <w:r>
        <w:rPr>
          <w:rFonts w:cstheme="majorHAnsi"/>
          <w:sz w:val="24"/>
          <w:szCs w:val="24"/>
        </w:rPr>
        <w:t xml:space="preserve">below, </w:t>
      </w:r>
      <w:r w:rsidRPr="00AD04EA">
        <w:rPr>
          <w:rFonts w:cstheme="majorHAnsi"/>
          <w:sz w:val="24"/>
          <w:szCs w:val="24"/>
        </w:rPr>
        <w:t>school readiness covers seven prime areas of learning and seventeen early learning goals.  Not only do these prime areas impact on educational outcomes but also health and crime.  The EYFS profile assessment is carried out for each child in the final term of the year in which a child reaches age five. Assessment is completed from a practitioner’s observation and interaction with the child in a range of daily activities and events.</w:t>
      </w:r>
    </w:p>
    <w:p w14:paraId="7953CF97" w14:textId="58DC105D" w:rsidR="00817CEC" w:rsidRDefault="00817CEC" w:rsidP="00817CEC">
      <w:pPr>
        <w:spacing w:after="160" w:line="259" w:lineRule="auto"/>
        <w:rPr>
          <w:rFonts w:cstheme="majorHAnsi"/>
          <w:b/>
          <w:color w:val="333333"/>
          <w:sz w:val="24"/>
          <w:szCs w:val="24"/>
          <w:shd w:val="clear" w:color="auto" w:fill="FFFFFF"/>
        </w:rPr>
      </w:pPr>
    </w:p>
    <w:p w14:paraId="1F4FDE7A" w14:textId="355430BA" w:rsidR="00817CEC" w:rsidRPr="006430AB" w:rsidRDefault="00817CEC" w:rsidP="00817CEC">
      <w:pPr>
        <w:spacing w:before="45" w:after="45" w:line="240" w:lineRule="auto"/>
        <w:rPr>
          <w:rFonts w:cstheme="majorHAnsi"/>
          <w:b/>
          <w:sz w:val="24"/>
          <w:szCs w:val="24"/>
          <w:shd w:val="clear" w:color="auto" w:fill="FFFFFF"/>
        </w:rPr>
      </w:pPr>
      <w:r w:rsidRPr="006430AB">
        <w:rPr>
          <w:rFonts w:cstheme="majorHAnsi"/>
          <w:b/>
          <w:sz w:val="24"/>
          <w:szCs w:val="24"/>
          <w:shd w:val="clear" w:color="auto" w:fill="FFFFFF"/>
        </w:rPr>
        <w:t xml:space="preserve">Table </w:t>
      </w:r>
      <w:r w:rsidR="006430AB" w:rsidRPr="006430AB">
        <w:rPr>
          <w:rFonts w:cstheme="majorHAnsi"/>
          <w:b/>
          <w:sz w:val="24"/>
          <w:szCs w:val="24"/>
          <w:shd w:val="clear" w:color="auto" w:fill="FFFFFF"/>
        </w:rPr>
        <w:t>2.</w:t>
      </w:r>
      <w:r w:rsidRPr="006430AB">
        <w:rPr>
          <w:rFonts w:cstheme="majorHAnsi"/>
          <w:b/>
          <w:sz w:val="24"/>
          <w:szCs w:val="24"/>
          <w:shd w:val="clear" w:color="auto" w:fill="FFFFFF"/>
        </w:rPr>
        <w:t>1</w:t>
      </w:r>
      <w:r w:rsidR="00D05BB1">
        <w:rPr>
          <w:rFonts w:cstheme="majorHAnsi"/>
          <w:b/>
          <w:sz w:val="24"/>
          <w:szCs w:val="24"/>
          <w:shd w:val="clear" w:color="auto" w:fill="FFFFFF"/>
        </w:rPr>
        <w:t>:</w:t>
      </w:r>
      <w:r w:rsidR="006430AB">
        <w:rPr>
          <w:rFonts w:cstheme="majorHAnsi"/>
          <w:b/>
          <w:sz w:val="24"/>
          <w:szCs w:val="24"/>
          <w:shd w:val="clear" w:color="auto" w:fill="FFFFFF"/>
        </w:rPr>
        <w:t xml:space="preserve"> </w:t>
      </w:r>
      <w:r w:rsidRPr="006430AB">
        <w:rPr>
          <w:rFonts w:cstheme="majorHAnsi"/>
          <w:b/>
          <w:sz w:val="24"/>
          <w:szCs w:val="24"/>
          <w:shd w:val="clear" w:color="auto" w:fill="FFFFFF"/>
        </w:rPr>
        <w:t>School Readiness Areas of Learning</w:t>
      </w:r>
    </w:p>
    <w:tbl>
      <w:tblPr>
        <w:tblW w:w="9706" w:type="dxa"/>
        <w:tblLook w:val="04A0" w:firstRow="1" w:lastRow="0" w:firstColumn="1" w:lastColumn="0" w:noHBand="0" w:noVBand="1"/>
      </w:tblPr>
      <w:tblGrid>
        <w:gridCol w:w="1073"/>
        <w:gridCol w:w="2565"/>
        <w:gridCol w:w="4523"/>
        <w:gridCol w:w="1545"/>
      </w:tblGrid>
      <w:tr w:rsidR="00817CEC" w:rsidRPr="00580BD2" w14:paraId="34199842" w14:textId="77777777" w:rsidTr="006430AB">
        <w:trPr>
          <w:trHeight w:val="648"/>
        </w:trPr>
        <w:tc>
          <w:tcPr>
            <w:tcW w:w="1073" w:type="dxa"/>
            <w:tcBorders>
              <w:top w:val="single" w:sz="4" w:space="0" w:color="auto"/>
              <w:left w:val="single" w:sz="4" w:space="0" w:color="auto"/>
              <w:bottom w:val="nil"/>
              <w:right w:val="single" w:sz="4" w:space="0" w:color="BFBFBF"/>
            </w:tcBorders>
            <w:shd w:val="clear" w:color="auto" w:fill="F2F2F2" w:themeFill="background1" w:themeFillShade="F2"/>
            <w:vAlign w:val="bottom"/>
            <w:hideMark/>
          </w:tcPr>
          <w:p w14:paraId="3D835E32"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 </w:t>
            </w:r>
          </w:p>
        </w:tc>
        <w:tc>
          <w:tcPr>
            <w:tcW w:w="2565" w:type="dxa"/>
            <w:tcBorders>
              <w:top w:val="single" w:sz="4" w:space="0" w:color="auto"/>
              <w:left w:val="nil"/>
              <w:bottom w:val="nil"/>
              <w:right w:val="single" w:sz="4" w:space="0" w:color="BFBFBF"/>
            </w:tcBorders>
            <w:shd w:val="clear" w:color="auto" w:fill="F2F2F2" w:themeFill="background1" w:themeFillShade="F2"/>
            <w:vAlign w:val="bottom"/>
            <w:hideMark/>
          </w:tcPr>
          <w:p w14:paraId="73C177DB" w14:textId="77777777" w:rsidR="00817CEC" w:rsidRPr="00580BD2" w:rsidRDefault="00817CEC" w:rsidP="00817CEC">
            <w:pPr>
              <w:spacing w:after="0" w:line="240" w:lineRule="auto"/>
              <w:jc w:val="center"/>
              <w:rPr>
                <w:rFonts w:eastAsia="Times New Roman" w:cstheme="majorHAnsi"/>
                <w:b/>
                <w:sz w:val="24"/>
                <w:szCs w:val="24"/>
                <w:lang w:eastAsia="en-GB"/>
              </w:rPr>
            </w:pPr>
            <w:r w:rsidRPr="00580BD2">
              <w:rPr>
                <w:rFonts w:eastAsia="Times New Roman" w:cstheme="majorHAnsi"/>
                <w:b/>
                <w:sz w:val="24"/>
                <w:szCs w:val="24"/>
                <w:lang w:eastAsia="en-GB"/>
              </w:rPr>
              <w:t>Area of Learning</w:t>
            </w:r>
          </w:p>
          <w:p w14:paraId="602008A3" w14:textId="77777777" w:rsidR="00817CEC" w:rsidRPr="00580BD2" w:rsidRDefault="00817CEC" w:rsidP="00817CEC">
            <w:pPr>
              <w:spacing w:after="0" w:line="240" w:lineRule="auto"/>
              <w:jc w:val="center"/>
              <w:rPr>
                <w:rFonts w:eastAsia="Times New Roman" w:cstheme="majorHAnsi"/>
                <w:b/>
                <w:sz w:val="24"/>
                <w:szCs w:val="24"/>
                <w:lang w:eastAsia="en-GB"/>
              </w:rPr>
            </w:pPr>
          </w:p>
        </w:tc>
        <w:tc>
          <w:tcPr>
            <w:tcW w:w="4523" w:type="dxa"/>
            <w:tcBorders>
              <w:top w:val="single" w:sz="4" w:space="0" w:color="auto"/>
              <w:left w:val="nil"/>
              <w:bottom w:val="nil"/>
              <w:right w:val="nil"/>
            </w:tcBorders>
            <w:shd w:val="clear" w:color="auto" w:fill="F2F2F2" w:themeFill="background1" w:themeFillShade="F2"/>
            <w:noWrap/>
            <w:vAlign w:val="center"/>
            <w:hideMark/>
          </w:tcPr>
          <w:p w14:paraId="47F84DA0" w14:textId="77777777" w:rsidR="00817CEC" w:rsidRPr="00580BD2" w:rsidRDefault="00817CEC" w:rsidP="00817CEC">
            <w:pPr>
              <w:spacing w:after="0" w:line="240" w:lineRule="auto"/>
              <w:jc w:val="center"/>
              <w:rPr>
                <w:rFonts w:eastAsia="Times New Roman" w:cstheme="majorHAnsi"/>
                <w:b/>
                <w:sz w:val="24"/>
                <w:szCs w:val="24"/>
                <w:lang w:eastAsia="en-GB"/>
              </w:rPr>
            </w:pPr>
            <w:r w:rsidRPr="00580BD2">
              <w:rPr>
                <w:rFonts w:eastAsia="Times New Roman" w:cstheme="majorHAnsi"/>
                <w:b/>
                <w:sz w:val="24"/>
                <w:szCs w:val="24"/>
                <w:lang w:eastAsia="en-GB"/>
              </w:rPr>
              <w:t>Early Learning Goal (ELG)</w:t>
            </w:r>
          </w:p>
        </w:tc>
        <w:tc>
          <w:tcPr>
            <w:tcW w:w="1545" w:type="dxa"/>
            <w:tcBorders>
              <w:top w:val="single" w:sz="4" w:space="0" w:color="auto"/>
              <w:left w:val="nil"/>
              <w:bottom w:val="nil"/>
              <w:right w:val="single" w:sz="4" w:space="0" w:color="auto"/>
            </w:tcBorders>
            <w:shd w:val="clear" w:color="auto" w:fill="F2F2F2" w:themeFill="background1" w:themeFillShade="F2"/>
            <w:vAlign w:val="center"/>
            <w:hideMark/>
          </w:tcPr>
          <w:p w14:paraId="1BC6C8FF" w14:textId="77777777" w:rsidR="00817CEC" w:rsidRPr="00580BD2" w:rsidRDefault="00817CEC" w:rsidP="00817CEC">
            <w:pPr>
              <w:spacing w:after="0" w:line="240" w:lineRule="auto"/>
              <w:jc w:val="center"/>
              <w:rPr>
                <w:rFonts w:eastAsia="Times New Roman" w:cstheme="majorHAnsi"/>
                <w:b/>
                <w:color w:val="000000"/>
                <w:sz w:val="24"/>
                <w:szCs w:val="24"/>
                <w:lang w:eastAsia="en-GB"/>
              </w:rPr>
            </w:pPr>
            <w:r w:rsidRPr="00580BD2">
              <w:rPr>
                <w:rFonts w:eastAsia="Times New Roman" w:cstheme="majorHAnsi"/>
                <w:b/>
                <w:color w:val="000000"/>
                <w:sz w:val="24"/>
                <w:szCs w:val="24"/>
                <w:lang w:eastAsia="en-GB"/>
              </w:rPr>
              <w:t>Good level of development</w:t>
            </w:r>
          </w:p>
        </w:tc>
      </w:tr>
      <w:tr w:rsidR="00817CEC" w:rsidRPr="00580BD2" w14:paraId="3DCCF42E" w14:textId="77777777" w:rsidTr="006430AB">
        <w:trPr>
          <w:trHeight w:val="308"/>
        </w:trPr>
        <w:tc>
          <w:tcPr>
            <w:tcW w:w="1073" w:type="dxa"/>
            <w:vMerge w:val="restart"/>
            <w:tcBorders>
              <w:top w:val="single" w:sz="4" w:space="0" w:color="auto"/>
              <w:left w:val="single" w:sz="4" w:space="0" w:color="auto"/>
              <w:bottom w:val="single" w:sz="4" w:space="0" w:color="000000"/>
              <w:right w:val="single" w:sz="4" w:space="0" w:color="BFBFBF"/>
            </w:tcBorders>
            <w:shd w:val="clear" w:color="auto" w:fill="auto"/>
            <w:vAlign w:val="center"/>
            <w:hideMark/>
          </w:tcPr>
          <w:p w14:paraId="54F2E99A" w14:textId="77777777" w:rsidR="00817CEC" w:rsidRPr="00580BD2" w:rsidRDefault="00817CEC" w:rsidP="00817CEC">
            <w:pPr>
              <w:spacing w:after="0" w:line="240" w:lineRule="auto"/>
              <w:jc w:val="center"/>
              <w:rPr>
                <w:rFonts w:eastAsia="Times New Roman" w:cstheme="majorHAnsi"/>
                <w:b/>
                <w:bCs/>
                <w:sz w:val="24"/>
                <w:szCs w:val="24"/>
                <w:lang w:eastAsia="en-GB"/>
              </w:rPr>
            </w:pPr>
            <w:r w:rsidRPr="00580BD2">
              <w:rPr>
                <w:rFonts w:eastAsia="Times New Roman" w:cstheme="majorHAnsi"/>
                <w:b/>
                <w:bCs/>
                <w:sz w:val="24"/>
                <w:szCs w:val="24"/>
                <w:lang w:eastAsia="en-GB"/>
              </w:rPr>
              <w:t>Prime Areas</w:t>
            </w:r>
          </w:p>
        </w:tc>
        <w:tc>
          <w:tcPr>
            <w:tcW w:w="2565"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center"/>
            <w:hideMark/>
          </w:tcPr>
          <w:p w14:paraId="05F899AE"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Communication and Language</w:t>
            </w:r>
          </w:p>
        </w:tc>
        <w:tc>
          <w:tcPr>
            <w:tcW w:w="4523" w:type="dxa"/>
            <w:tcBorders>
              <w:top w:val="single" w:sz="4" w:space="0" w:color="auto"/>
              <w:left w:val="nil"/>
              <w:bottom w:val="single" w:sz="4" w:space="0" w:color="BFBFBF"/>
              <w:right w:val="single" w:sz="4" w:space="0" w:color="BFBFBF"/>
            </w:tcBorders>
            <w:shd w:val="clear" w:color="auto" w:fill="auto"/>
            <w:noWrap/>
            <w:vAlign w:val="bottom"/>
            <w:hideMark/>
          </w:tcPr>
          <w:p w14:paraId="2D2C6ECB"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 Listening and attention</w:t>
            </w:r>
          </w:p>
        </w:tc>
        <w:tc>
          <w:tcPr>
            <w:tcW w:w="1545" w:type="dxa"/>
            <w:tcBorders>
              <w:top w:val="single" w:sz="4" w:space="0" w:color="auto"/>
              <w:left w:val="nil"/>
              <w:bottom w:val="single" w:sz="4" w:space="0" w:color="BFBFBF"/>
              <w:right w:val="single" w:sz="4" w:space="0" w:color="auto"/>
            </w:tcBorders>
            <w:shd w:val="clear" w:color="auto" w:fill="auto"/>
            <w:noWrap/>
            <w:vAlign w:val="bottom"/>
            <w:hideMark/>
          </w:tcPr>
          <w:p w14:paraId="1CA33FA2"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68091604" w14:textId="77777777" w:rsidTr="006430AB">
        <w:trPr>
          <w:trHeight w:val="308"/>
        </w:trPr>
        <w:tc>
          <w:tcPr>
            <w:tcW w:w="1073" w:type="dxa"/>
            <w:vMerge/>
            <w:tcBorders>
              <w:top w:val="single" w:sz="4" w:space="0" w:color="auto"/>
              <w:left w:val="single" w:sz="4" w:space="0" w:color="auto"/>
              <w:bottom w:val="single" w:sz="4" w:space="0" w:color="000000"/>
              <w:right w:val="single" w:sz="4" w:space="0" w:color="BFBFBF"/>
            </w:tcBorders>
            <w:vAlign w:val="center"/>
            <w:hideMark/>
          </w:tcPr>
          <w:p w14:paraId="7AC069BD"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single" w:sz="4" w:space="0" w:color="auto"/>
              <w:left w:val="single" w:sz="4" w:space="0" w:color="BFBFBF"/>
              <w:bottom w:val="single" w:sz="4" w:space="0" w:color="BFBFBF"/>
              <w:right w:val="single" w:sz="4" w:space="0" w:color="BFBFBF"/>
            </w:tcBorders>
            <w:vAlign w:val="center"/>
            <w:hideMark/>
          </w:tcPr>
          <w:p w14:paraId="42A5807B"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BFBFBF"/>
              <w:right w:val="single" w:sz="4" w:space="0" w:color="BFBFBF"/>
            </w:tcBorders>
            <w:shd w:val="clear" w:color="auto" w:fill="auto"/>
            <w:noWrap/>
            <w:vAlign w:val="bottom"/>
            <w:hideMark/>
          </w:tcPr>
          <w:p w14:paraId="623EBC3C"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2: Understanding</w:t>
            </w:r>
          </w:p>
        </w:tc>
        <w:tc>
          <w:tcPr>
            <w:tcW w:w="1545" w:type="dxa"/>
            <w:tcBorders>
              <w:top w:val="nil"/>
              <w:left w:val="nil"/>
              <w:bottom w:val="single" w:sz="4" w:space="0" w:color="BFBFBF"/>
              <w:right w:val="single" w:sz="4" w:space="0" w:color="auto"/>
            </w:tcBorders>
            <w:shd w:val="clear" w:color="auto" w:fill="auto"/>
            <w:noWrap/>
            <w:vAlign w:val="bottom"/>
            <w:hideMark/>
          </w:tcPr>
          <w:p w14:paraId="1BC82390"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6BED3302" w14:textId="77777777" w:rsidTr="006430AB">
        <w:trPr>
          <w:trHeight w:val="308"/>
        </w:trPr>
        <w:tc>
          <w:tcPr>
            <w:tcW w:w="1073" w:type="dxa"/>
            <w:vMerge/>
            <w:tcBorders>
              <w:top w:val="single" w:sz="4" w:space="0" w:color="auto"/>
              <w:left w:val="single" w:sz="4" w:space="0" w:color="auto"/>
              <w:bottom w:val="single" w:sz="4" w:space="0" w:color="000000"/>
              <w:right w:val="single" w:sz="4" w:space="0" w:color="BFBFBF"/>
            </w:tcBorders>
            <w:vAlign w:val="center"/>
            <w:hideMark/>
          </w:tcPr>
          <w:p w14:paraId="3F9E74F7"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single" w:sz="4" w:space="0" w:color="auto"/>
              <w:left w:val="single" w:sz="4" w:space="0" w:color="BFBFBF"/>
              <w:bottom w:val="single" w:sz="4" w:space="0" w:color="BFBFBF"/>
              <w:right w:val="single" w:sz="4" w:space="0" w:color="BFBFBF"/>
            </w:tcBorders>
            <w:vAlign w:val="center"/>
            <w:hideMark/>
          </w:tcPr>
          <w:p w14:paraId="3CF9F595"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BFBFBF"/>
              <w:right w:val="single" w:sz="4" w:space="0" w:color="BFBFBF"/>
            </w:tcBorders>
            <w:shd w:val="clear" w:color="auto" w:fill="auto"/>
            <w:noWrap/>
            <w:vAlign w:val="bottom"/>
            <w:hideMark/>
          </w:tcPr>
          <w:p w14:paraId="5C4F2467"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3: Speaking</w:t>
            </w:r>
          </w:p>
        </w:tc>
        <w:tc>
          <w:tcPr>
            <w:tcW w:w="1545" w:type="dxa"/>
            <w:tcBorders>
              <w:top w:val="nil"/>
              <w:left w:val="nil"/>
              <w:bottom w:val="single" w:sz="4" w:space="0" w:color="BFBFBF"/>
              <w:right w:val="single" w:sz="4" w:space="0" w:color="auto"/>
            </w:tcBorders>
            <w:shd w:val="clear" w:color="auto" w:fill="auto"/>
            <w:noWrap/>
            <w:vAlign w:val="bottom"/>
            <w:hideMark/>
          </w:tcPr>
          <w:p w14:paraId="63346400"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3B97A1DF" w14:textId="77777777" w:rsidTr="006430AB">
        <w:trPr>
          <w:trHeight w:val="308"/>
        </w:trPr>
        <w:tc>
          <w:tcPr>
            <w:tcW w:w="1073" w:type="dxa"/>
            <w:vMerge/>
            <w:tcBorders>
              <w:top w:val="single" w:sz="4" w:space="0" w:color="auto"/>
              <w:left w:val="single" w:sz="4" w:space="0" w:color="auto"/>
              <w:bottom w:val="single" w:sz="4" w:space="0" w:color="000000"/>
              <w:right w:val="single" w:sz="4" w:space="0" w:color="BFBFBF"/>
            </w:tcBorders>
            <w:vAlign w:val="center"/>
            <w:hideMark/>
          </w:tcPr>
          <w:p w14:paraId="05CAB9DC"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val="restart"/>
            <w:tcBorders>
              <w:top w:val="nil"/>
              <w:left w:val="single" w:sz="4" w:space="0" w:color="BFBFBF"/>
              <w:bottom w:val="single" w:sz="4" w:space="0" w:color="BFBFBF"/>
              <w:right w:val="single" w:sz="4" w:space="0" w:color="BFBFBF"/>
            </w:tcBorders>
            <w:shd w:val="clear" w:color="auto" w:fill="auto"/>
            <w:noWrap/>
            <w:vAlign w:val="center"/>
            <w:hideMark/>
          </w:tcPr>
          <w:p w14:paraId="4D48D036"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Physical Development</w:t>
            </w:r>
          </w:p>
        </w:tc>
        <w:tc>
          <w:tcPr>
            <w:tcW w:w="4523" w:type="dxa"/>
            <w:tcBorders>
              <w:top w:val="nil"/>
              <w:left w:val="nil"/>
              <w:bottom w:val="single" w:sz="4" w:space="0" w:color="BFBFBF"/>
              <w:right w:val="single" w:sz="4" w:space="0" w:color="BFBFBF"/>
            </w:tcBorders>
            <w:shd w:val="clear" w:color="auto" w:fill="auto"/>
            <w:noWrap/>
            <w:vAlign w:val="bottom"/>
            <w:hideMark/>
          </w:tcPr>
          <w:p w14:paraId="7D6896A8"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4: Moving and handling</w:t>
            </w:r>
          </w:p>
        </w:tc>
        <w:tc>
          <w:tcPr>
            <w:tcW w:w="1545" w:type="dxa"/>
            <w:tcBorders>
              <w:top w:val="nil"/>
              <w:left w:val="nil"/>
              <w:bottom w:val="single" w:sz="4" w:space="0" w:color="BFBFBF"/>
              <w:right w:val="single" w:sz="4" w:space="0" w:color="auto"/>
            </w:tcBorders>
            <w:shd w:val="clear" w:color="auto" w:fill="auto"/>
            <w:noWrap/>
            <w:vAlign w:val="bottom"/>
            <w:hideMark/>
          </w:tcPr>
          <w:p w14:paraId="3068B294"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1DB0533A" w14:textId="77777777" w:rsidTr="006430AB">
        <w:trPr>
          <w:trHeight w:val="308"/>
        </w:trPr>
        <w:tc>
          <w:tcPr>
            <w:tcW w:w="1073" w:type="dxa"/>
            <w:vMerge/>
            <w:tcBorders>
              <w:top w:val="single" w:sz="4" w:space="0" w:color="auto"/>
              <w:left w:val="single" w:sz="4" w:space="0" w:color="auto"/>
              <w:bottom w:val="single" w:sz="4" w:space="0" w:color="000000"/>
              <w:right w:val="single" w:sz="4" w:space="0" w:color="BFBFBF"/>
            </w:tcBorders>
            <w:vAlign w:val="center"/>
            <w:hideMark/>
          </w:tcPr>
          <w:p w14:paraId="4329B424"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nil"/>
              <w:left w:val="single" w:sz="4" w:space="0" w:color="BFBFBF"/>
              <w:bottom w:val="single" w:sz="4" w:space="0" w:color="BFBFBF"/>
              <w:right w:val="single" w:sz="4" w:space="0" w:color="BFBFBF"/>
            </w:tcBorders>
            <w:vAlign w:val="center"/>
            <w:hideMark/>
          </w:tcPr>
          <w:p w14:paraId="31F09189"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BFBFBF"/>
              <w:right w:val="single" w:sz="4" w:space="0" w:color="BFBFBF"/>
            </w:tcBorders>
            <w:shd w:val="clear" w:color="auto" w:fill="auto"/>
            <w:noWrap/>
            <w:vAlign w:val="bottom"/>
            <w:hideMark/>
          </w:tcPr>
          <w:p w14:paraId="750C010B"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5: Health and self-care</w:t>
            </w:r>
          </w:p>
        </w:tc>
        <w:tc>
          <w:tcPr>
            <w:tcW w:w="1545" w:type="dxa"/>
            <w:tcBorders>
              <w:top w:val="nil"/>
              <w:left w:val="nil"/>
              <w:bottom w:val="single" w:sz="4" w:space="0" w:color="BFBFBF"/>
              <w:right w:val="single" w:sz="4" w:space="0" w:color="auto"/>
            </w:tcBorders>
            <w:shd w:val="clear" w:color="auto" w:fill="auto"/>
            <w:noWrap/>
            <w:vAlign w:val="bottom"/>
            <w:hideMark/>
          </w:tcPr>
          <w:p w14:paraId="6890FFC0"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2CC0841B" w14:textId="77777777" w:rsidTr="006430AB">
        <w:trPr>
          <w:trHeight w:val="308"/>
        </w:trPr>
        <w:tc>
          <w:tcPr>
            <w:tcW w:w="1073" w:type="dxa"/>
            <w:vMerge/>
            <w:tcBorders>
              <w:top w:val="single" w:sz="4" w:space="0" w:color="auto"/>
              <w:left w:val="single" w:sz="4" w:space="0" w:color="auto"/>
              <w:bottom w:val="single" w:sz="4" w:space="0" w:color="000000"/>
              <w:right w:val="single" w:sz="4" w:space="0" w:color="BFBFBF"/>
            </w:tcBorders>
            <w:vAlign w:val="center"/>
            <w:hideMark/>
          </w:tcPr>
          <w:p w14:paraId="10758FD2"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14:paraId="091B242A"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Personal, Social and Emotional Development</w:t>
            </w:r>
          </w:p>
        </w:tc>
        <w:tc>
          <w:tcPr>
            <w:tcW w:w="4523" w:type="dxa"/>
            <w:tcBorders>
              <w:top w:val="nil"/>
              <w:left w:val="nil"/>
              <w:bottom w:val="single" w:sz="4" w:space="0" w:color="BFBFBF"/>
              <w:right w:val="single" w:sz="4" w:space="0" w:color="BFBFBF"/>
            </w:tcBorders>
            <w:shd w:val="clear" w:color="auto" w:fill="auto"/>
            <w:noWrap/>
            <w:vAlign w:val="bottom"/>
            <w:hideMark/>
          </w:tcPr>
          <w:p w14:paraId="71470D90"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6: Self-confidence and self-awareness</w:t>
            </w:r>
          </w:p>
        </w:tc>
        <w:tc>
          <w:tcPr>
            <w:tcW w:w="1545" w:type="dxa"/>
            <w:tcBorders>
              <w:top w:val="nil"/>
              <w:left w:val="nil"/>
              <w:bottom w:val="single" w:sz="4" w:space="0" w:color="BFBFBF"/>
              <w:right w:val="single" w:sz="4" w:space="0" w:color="auto"/>
            </w:tcBorders>
            <w:shd w:val="clear" w:color="auto" w:fill="auto"/>
            <w:noWrap/>
            <w:vAlign w:val="bottom"/>
            <w:hideMark/>
          </w:tcPr>
          <w:p w14:paraId="4DE030E4"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08FFCBEF" w14:textId="77777777" w:rsidTr="006430AB">
        <w:trPr>
          <w:trHeight w:val="308"/>
        </w:trPr>
        <w:tc>
          <w:tcPr>
            <w:tcW w:w="1073" w:type="dxa"/>
            <w:vMerge/>
            <w:tcBorders>
              <w:top w:val="single" w:sz="4" w:space="0" w:color="auto"/>
              <w:left w:val="single" w:sz="4" w:space="0" w:color="auto"/>
              <w:bottom w:val="single" w:sz="4" w:space="0" w:color="000000"/>
              <w:right w:val="single" w:sz="4" w:space="0" w:color="BFBFBF"/>
            </w:tcBorders>
            <w:vAlign w:val="center"/>
            <w:hideMark/>
          </w:tcPr>
          <w:p w14:paraId="7098BB26"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nil"/>
              <w:left w:val="single" w:sz="4" w:space="0" w:color="BFBFBF"/>
              <w:bottom w:val="single" w:sz="4" w:space="0" w:color="000000"/>
              <w:right w:val="single" w:sz="4" w:space="0" w:color="BFBFBF"/>
            </w:tcBorders>
            <w:vAlign w:val="center"/>
            <w:hideMark/>
          </w:tcPr>
          <w:p w14:paraId="2E509B9D"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BFBFBF"/>
              <w:right w:val="single" w:sz="4" w:space="0" w:color="BFBFBF"/>
            </w:tcBorders>
            <w:shd w:val="clear" w:color="auto" w:fill="auto"/>
            <w:noWrap/>
            <w:vAlign w:val="bottom"/>
            <w:hideMark/>
          </w:tcPr>
          <w:p w14:paraId="656EA4C8"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7: Managing feelings and behaviour</w:t>
            </w:r>
          </w:p>
        </w:tc>
        <w:tc>
          <w:tcPr>
            <w:tcW w:w="1545" w:type="dxa"/>
            <w:tcBorders>
              <w:top w:val="nil"/>
              <w:left w:val="nil"/>
              <w:bottom w:val="single" w:sz="4" w:space="0" w:color="BFBFBF"/>
              <w:right w:val="single" w:sz="4" w:space="0" w:color="auto"/>
            </w:tcBorders>
            <w:shd w:val="clear" w:color="auto" w:fill="auto"/>
            <w:noWrap/>
            <w:vAlign w:val="bottom"/>
            <w:hideMark/>
          </w:tcPr>
          <w:p w14:paraId="60B4892F"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3F3AC229" w14:textId="77777777" w:rsidTr="006430AB">
        <w:trPr>
          <w:trHeight w:val="308"/>
        </w:trPr>
        <w:tc>
          <w:tcPr>
            <w:tcW w:w="1073" w:type="dxa"/>
            <w:vMerge/>
            <w:tcBorders>
              <w:top w:val="single" w:sz="4" w:space="0" w:color="auto"/>
              <w:left w:val="single" w:sz="4" w:space="0" w:color="auto"/>
              <w:bottom w:val="single" w:sz="4" w:space="0" w:color="000000"/>
              <w:right w:val="single" w:sz="4" w:space="0" w:color="BFBFBF"/>
            </w:tcBorders>
            <w:vAlign w:val="center"/>
            <w:hideMark/>
          </w:tcPr>
          <w:p w14:paraId="583F4CF7"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nil"/>
              <w:left w:val="single" w:sz="4" w:space="0" w:color="BFBFBF"/>
              <w:bottom w:val="single" w:sz="4" w:space="0" w:color="000000"/>
              <w:right w:val="single" w:sz="4" w:space="0" w:color="BFBFBF"/>
            </w:tcBorders>
            <w:vAlign w:val="center"/>
            <w:hideMark/>
          </w:tcPr>
          <w:p w14:paraId="0F7881F7"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auto"/>
              <w:right w:val="single" w:sz="4" w:space="0" w:color="BFBFBF"/>
            </w:tcBorders>
            <w:shd w:val="clear" w:color="auto" w:fill="auto"/>
            <w:noWrap/>
            <w:vAlign w:val="bottom"/>
            <w:hideMark/>
          </w:tcPr>
          <w:p w14:paraId="1D1E993B"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8: Making relationships</w:t>
            </w:r>
          </w:p>
        </w:tc>
        <w:tc>
          <w:tcPr>
            <w:tcW w:w="1545" w:type="dxa"/>
            <w:tcBorders>
              <w:top w:val="nil"/>
              <w:left w:val="nil"/>
              <w:bottom w:val="single" w:sz="4" w:space="0" w:color="auto"/>
              <w:right w:val="single" w:sz="4" w:space="0" w:color="auto"/>
            </w:tcBorders>
            <w:shd w:val="clear" w:color="auto" w:fill="auto"/>
            <w:noWrap/>
            <w:vAlign w:val="bottom"/>
            <w:hideMark/>
          </w:tcPr>
          <w:p w14:paraId="39E91E43"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69C8F299" w14:textId="77777777" w:rsidTr="006430AB">
        <w:trPr>
          <w:trHeight w:val="308"/>
        </w:trPr>
        <w:tc>
          <w:tcPr>
            <w:tcW w:w="1073" w:type="dxa"/>
            <w:vMerge w:val="restart"/>
            <w:tcBorders>
              <w:top w:val="nil"/>
              <w:left w:val="single" w:sz="4" w:space="0" w:color="auto"/>
              <w:bottom w:val="single" w:sz="4" w:space="0" w:color="000000"/>
              <w:right w:val="single" w:sz="4" w:space="0" w:color="BFBFBF"/>
            </w:tcBorders>
            <w:shd w:val="clear" w:color="auto" w:fill="auto"/>
            <w:vAlign w:val="center"/>
            <w:hideMark/>
          </w:tcPr>
          <w:p w14:paraId="4C378638" w14:textId="77777777" w:rsidR="00817CEC" w:rsidRPr="00580BD2" w:rsidRDefault="00817CEC" w:rsidP="00817CEC">
            <w:pPr>
              <w:spacing w:after="0" w:line="240" w:lineRule="auto"/>
              <w:jc w:val="center"/>
              <w:rPr>
                <w:rFonts w:eastAsia="Times New Roman" w:cstheme="majorHAnsi"/>
                <w:b/>
                <w:bCs/>
                <w:sz w:val="24"/>
                <w:szCs w:val="24"/>
                <w:lang w:eastAsia="en-GB"/>
              </w:rPr>
            </w:pPr>
            <w:r w:rsidRPr="00580BD2">
              <w:rPr>
                <w:rFonts w:eastAsia="Times New Roman" w:cstheme="majorHAnsi"/>
                <w:b/>
                <w:bCs/>
                <w:sz w:val="24"/>
                <w:szCs w:val="24"/>
                <w:lang w:eastAsia="en-GB"/>
              </w:rPr>
              <w:t>Specific Areas of Learning</w:t>
            </w:r>
          </w:p>
        </w:tc>
        <w:tc>
          <w:tcPr>
            <w:tcW w:w="2565" w:type="dxa"/>
            <w:vMerge w:val="restart"/>
            <w:tcBorders>
              <w:top w:val="nil"/>
              <w:left w:val="single" w:sz="4" w:space="0" w:color="BFBFBF"/>
              <w:bottom w:val="single" w:sz="4" w:space="0" w:color="BFBFBF"/>
              <w:right w:val="single" w:sz="4" w:space="0" w:color="BFBFBF"/>
            </w:tcBorders>
            <w:shd w:val="clear" w:color="auto" w:fill="auto"/>
            <w:noWrap/>
            <w:vAlign w:val="center"/>
            <w:hideMark/>
          </w:tcPr>
          <w:p w14:paraId="0924FEB2"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Literacy</w:t>
            </w:r>
          </w:p>
        </w:tc>
        <w:tc>
          <w:tcPr>
            <w:tcW w:w="4523" w:type="dxa"/>
            <w:tcBorders>
              <w:top w:val="nil"/>
              <w:left w:val="nil"/>
              <w:bottom w:val="single" w:sz="4" w:space="0" w:color="BFBFBF"/>
              <w:right w:val="single" w:sz="4" w:space="0" w:color="BFBFBF"/>
            </w:tcBorders>
            <w:shd w:val="clear" w:color="auto" w:fill="auto"/>
            <w:noWrap/>
            <w:vAlign w:val="bottom"/>
            <w:hideMark/>
          </w:tcPr>
          <w:p w14:paraId="6B4B98CD"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9: Reading</w:t>
            </w:r>
          </w:p>
        </w:tc>
        <w:tc>
          <w:tcPr>
            <w:tcW w:w="1545" w:type="dxa"/>
            <w:tcBorders>
              <w:top w:val="nil"/>
              <w:left w:val="nil"/>
              <w:bottom w:val="single" w:sz="4" w:space="0" w:color="BFBFBF"/>
              <w:right w:val="single" w:sz="4" w:space="0" w:color="auto"/>
            </w:tcBorders>
            <w:shd w:val="clear" w:color="auto" w:fill="auto"/>
            <w:noWrap/>
            <w:vAlign w:val="bottom"/>
            <w:hideMark/>
          </w:tcPr>
          <w:p w14:paraId="4E31DBC5"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2483AE20" w14:textId="77777777" w:rsidTr="006430AB">
        <w:trPr>
          <w:trHeight w:val="308"/>
        </w:trPr>
        <w:tc>
          <w:tcPr>
            <w:tcW w:w="1073" w:type="dxa"/>
            <w:vMerge/>
            <w:tcBorders>
              <w:top w:val="nil"/>
              <w:left w:val="single" w:sz="4" w:space="0" w:color="auto"/>
              <w:bottom w:val="single" w:sz="4" w:space="0" w:color="000000"/>
              <w:right w:val="single" w:sz="4" w:space="0" w:color="BFBFBF"/>
            </w:tcBorders>
            <w:vAlign w:val="center"/>
            <w:hideMark/>
          </w:tcPr>
          <w:p w14:paraId="5D0FD636"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nil"/>
              <w:left w:val="single" w:sz="4" w:space="0" w:color="BFBFBF"/>
              <w:bottom w:val="single" w:sz="4" w:space="0" w:color="BFBFBF"/>
              <w:right w:val="single" w:sz="4" w:space="0" w:color="BFBFBF"/>
            </w:tcBorders>
            <w:vAlign w:val="center"/>
            <w:hideMark/>
          </w:tcPr>
          <w:p w14:paraId="4399AE68"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BFBFBF"/>
              <w:right w:val="single" w:sz="4" w:space="0" w:color="BFBFBF"/>
            </w:tcBorders>
            <w:shd w:val="clear" w:color="auto" w:fill="auto"/>
            <w:noWrap/>
            <w:vAlign w:val="bottom"/>
            <w:hideMark/>
          </w:tcPr>
          <w:p w14:paraId="79C4AEFC"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10: Writing</w:t>
            </w:r>
          </w:p>
        </w:tc>
        <w:tc>
          <w:tcPr>
            <w:tcW w:w="1545" w:type="dxa"/>
            <w:tcBorders>
              <w:top w:val="nil"/>
              <w:left w:val="nil"/>
              <w:bottom w:val="single" w:sz="4" w:space="0" w:color="BFBFBF"/>
              <w:right w:val="single" w:sz="4" w:space="0" w:color="auto"/>
            </w:tcBorders>
            <w:shd w:val="clear" w:color="auto" w:fill="auto"/>
            <w:noWrap/>
            <w:vAlign w:val="bottom"/>
            <w:hideMark/>
          </w:tcPr>
          <w:p w14:paraId="0979E646"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3BBB86BE" w14:textId="77777777" w:rsidTr="006430AB">
        <w:trPr>
          <w:trHeight w:val="308"/>
        </w:trPr>
        <w:tc>
          <w:tcPr>
            <w:tcW w:w="1073" w:type="dxa"/>
            <w:vMerge/>
            <w:tcBorders>
              <w:top w:val="nil"/>
              <w:left w:val="single" w:sz="4" w:space="0" w:color="auto"/>
              <w:bottom w:val="single" w:sz="4" w:space="0" w:color="000000"/>
              <w:right w:val="single" w:sz="4" w:space="0" w:color="BFBFBF"/>
            </w:tcBorders>
            <w:vAlign w:val="center"/>
            <w:hideMark/>
          </w:tcPr>
          <w:p w14:paraId="6ABBB8EB"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val="restart"/>
            <w:tcBorders>
              <w:top w:val="nil"/>
              <w:left w:val="single" w:sz="4" w:space="0" w:color="BFBFBF"/>
              <w:bottom w:val="single" w:sz="4" w:space="0" w:color="BFBFBF"/>
              <w:right w:val="single" w:sz="4" w:space="0" w:color="BFBFBF"/>
            </w:tcBorders>
            <w:shd w:val="clear" w:color="auto" w:fill="auto"/>
            <w:noWrap/>
            <w:vAlign w:val="center"/>
            <w:hideMark/>
          </w:tcPr>
          <w:p w14:paraId="3EB21186"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Mathematics</w:t>
            </w:r>
          </w:p>
        </w:tc>
        <w:tc>
          <w:tcPr>
            <w:tcW w:w="4523" w:type="dxa"/>
            <w:tcBorders>
              <w:top w:val="nil"/>
              <w:left w:val="nil"/>
              <w:bottom w:val="single" w:sz="4" w:space="0" w:color="BFBFBF"/>
              <w:right w:val="single" w:sz="4" w:space="0" w:color="BFBFBF"/>
            </w:tcBorders>
            <w:shd w:val="clear" w:color="auto" w:fill="auto"/>
            <w:noWrap/>
            <w:vAlign w:val="bottom"/>
            <w:hideMark/>
          </w:tcPr>
          <w:p w14:paraId="505708B6"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11: Numbers</w:t>
            </w:r>
          </w:p>
        </w:tc>
        <w:tc>
          <w:tcPr>
            <w:tcW w:w="1545" w:type="dxa"/>
            <w:tcBorders>
              <w:top w:val="nil"/>
              <w:left w:val="nil"/>
              <w:bottom w:val="single" w:sz="4" w:space="0" w:color="BFBFBF"/>
              <w:right w:val="single" w:sz="4" w:space="0" w:color="auto"/>
            </w:tcBorders>
            <w:shd w:val="clear" w:color="auto" w:fill="auto"/>
            <w:noWrap/>
            <w:vAlign w:val="bottom"/>
            <w:hideMark/>
          </w:tcPr>
          <w:p w14:paraId="35F60F73"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p>
        </w:tc>
      </w:tr>
      <w:tr w:rsidR="00817CEC" w:rsidRPr="00580BD2" w14:paraId="49B7CE7D" w14:textId="77777777" w:rsidTr="006430AB">
        <w:trPr>
          <w:trHeight w:val="308"/>
        </w:trPr>
        <w:tc>
          <w:tcPr>
            <w:tcW w:w="1073" w:type="dxa"/>
            <w:vMerge/>
            <w:tcBorders>
              <w:top w:val="nil"/>
              <w:left w:val="single" w:sz="4" w:space="0" w:color="auto"/>
              <w:bottom w:val="single" w:sz="4" w:space="0" w:color="000000"/>
              <w:right w:val="single" w:sz="4" w:space="0" w:color="BFBFBF"/>
            </w:tcBorders>
            <w:vAlign w:val="center"/>
            <w:hideMark/>
          </w:tcPr>
          <w:p w14:paraId="242D0A4E"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nil"/>
              <w:left w:val="single" w:sz="4" w:space="0" w:color="BFBFBF"/>
              <w:bottom w:val="single" w:sz="4" w:space="0" w:color="BFBFBF"/>
              <w:right w:val="single" w:sz="4" w:space="0" w:color="BFBFBF"/>
            </w:tcBorders>
            <w:vAlign w:val="center"/>
            <w:hideMark/>
          </w:tcPr>
          <w:p w14:paraId="6EF11FA9"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BFBFBF"/>
              <w:right w:val="single" w:sz="4" w:space="0" w:color="BFBFBF"/>
            </w:tcBorders>
            <w:shd w:val="clear" w:color="auto" w:fill="auto"/>
            <w:noWrap/>
            <w:vAlign w:val="bottom"/>
            <w:hideMark/>
          </w:tcPr>
          <w:p w14:paraId="3358819E"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12: Shape, space and measures</w:t>
            </w:r>
          </w:p>
        </w:tc>
        <w:tc>
          <w:tcPr>
            <w:tcW w:w="1545" w:type="dxa"/>
            <w:tcBorders>
              <w:top w:val="nil"/>
              <w:left w:val="nil"/>
              <w:bottom w:val="single" w:sz="4" w:space="0" w:color="BFBFBF"/>
              <w:right w:val="single" w:sz="4" w:space="0" w:color="auto"/>
            </w:tcBorders>
            <w:shd w:val="clear" w:color="auto" w:fill="auto"/>
            <w:noWrap/>
            <w:vAlign w:val="bottom"/>
            <w:hideMark/>
          </w:tcPr>
          <w:p w14:paraId="6571618A"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ascii="Segoe UI Symbol" w:eastAsia="Times New Roman" w:hAnsi="Segoe UI Symbol" w:cs="Segoe UI Symbol"/>
                <w:sz w:val="24"/>
                <w:szCs w:val="24"/>
                <w:lang w:eastAsia="en-GB"/>
              </w:rPr>
              <w:t>✔</w:t>
            </w:r>
            <w:r w:rsidRPr="00580BD2">
              <w:rPr>
                <w:rFonts w:eastAsia="Times New Roman" w:cstheme="majorHAnsi"/>
                <w:sz w:val="24"/>
                <w:szCs w:val="24"/>
                <w:lang w:eastAsia="en-GB"/>
              </w:rPr>
              <w:t> </w:t>
            </w:r>
          </w:p>
        </w:tc>
      </w:tr>
      <w:tr w:rsidR="00817CEC" w:rsidRPr="00580BD2" w14:paraId="16203C84" w14:textId="77777777" w:rsidTr="006430AB">
        <w:trPr>
          <w:trHeight w:val="308"/>
        </w:trPr>
        <w:tc>
          <w:tcPr>
            <w:tcW w:w="1073" w:type="dxa"/>
            <w:vMerge/>
            <w:tcBorders>
              <w:top w:val="nil"/>
              <w:left w:val="single" w:sz="4" w:space="0" w:color="auto"/>
              <w:bottom w:val="single" w:sz="4" w:space="0" w:color="000000"/>
              <w:right w:val="single" w:sz="4" w:space="0" w:color="BFBFBF"/>
            </w:tcBorders>
            <w:vAlign w:val="center"/>
            <w:hideMark/>
          </w:tcPr>
          <w:p w14:paraId="2B7965B5"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val="restart"/>
            <w:tcBorders>
              <w:top w:val="nil"/>
              <w:left w:val="single" w:sz="4" w:space="0" w:color="BFBFBF"/>
              <w:bottom w:val="single" w:sz="4" w:space="0" w:color="BFBFBF"/>
              <w:right w:val="single" w:sz="4" w:space="0" w:color="BFBFBF"/>
            </w:tcBorders>
            <w:shd w:val="clear" w:color="auto" w:fill="auto"/>
            <w:noWrap/>
            <w:vAlign w:val="center"/>
            <w:hideMark/>
          </w:tcPr>
          <w:p w14:paraId="6B3F917D"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Understanding the World</w:t>
            </w:r>
          </w:p>
        </w:tc>
        <w:tc>
          <w:tcPr>
            <w:tcW w:w="4523" w:type="dxa"/>
            <w:tcBorders>
              <w:top w:val="nil"/>
              <w:left w:val="nil"/>
              <w:bottom w:val="single" w:sz="4" w:space="0" w:color="BFBFBF"/>
              <w:right w:val="single" w:sz="4" w:space="0" w:color="BFBFBF"/>
            </w:tcBorders>
            <w:shd w:val="clear" w:color="auto" w:fill="auto"/>
            <w:noWrap/>
            <w:vAlign w:val="bottom"/>
            <w:hideMark/>
          </w:tcPr>
          <w:p w14:paraId="00BD6638"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13: People and communities</w:t>
            </w:r>
          </w:p>
        </w:tc>
        <w:tc>
          <w:tcPr>
            <w:tcW w:w="1545" w:type="dxa"/>
            <w:tcBorders>
              <w:top w:val="nil"/>
              <w:left w:val="nil"/>
              <w:bottom w:val="single" w:sz="4" w:space="0" w:color="BFBFBF"/>
              <w:right w:val="single" w:sz="4" w:space="0" w:color="auto"/>
            </w:tcBorders>
            <w:shd w:val="clear" w:color="auto" w:fill="auto"/>
            <w:noWrap/>
            <w:vAlign w:val="bottom"/>
            <w:hideMark/>
          </w:tcPr>
          <w:p w14:paraId="7D0724EB"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 </w:t>
            </w:r>
          </w:p>
        </w:tc>
      </w:tr>
      <w:tr w:rsidR="00817CEC" w:rsidRPr="00580BD2" w14:paraId="42AFBAA8" w14:textId="77777777" w:rsidTr="006430AB">
        <w:trPr>
          <w:trHeight w:val="308"/>
        </w:trPr>
        <w:tc>
          <w:tcPr>
            <w:tcW w:w="1073" w:type="dxa"/>
            <w:vMerge/>
            <w:tcBorders>
              <w:top w:val="nil"/>
              <w:left w:val="single" w:sz="4" w:space="0" w:color="auto"/>
              <w:bottom w:val="single" w:sz="4" w:space="0" w:color="000000"/>
              <w:right w:val="single" w:sz="4" w:space="0" w:color="BFBFBF"/>
            </w:tcBorders>
            <w:vAlign w:val="center"/>
            <w:hideMark/>
          </w:tcPr>
          <w:p w14:paraId="6DBE5D9B"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nil"/>
              <w:left w:val="single" w:sz="4" w:space="0" w:color="BFBFBF"/>
              <w:bottom w:val="single" w:sz="4" w:space="0" w:color="BFBFBF"/>
              <w:right w:val="single" w:sz="4" w:space="0" w:color="BFBFBF"/>
            </w:tcBorders>
            <w:vAlign w:val="center"/>
            <w:hideMark/>
          </w:tcPr>
          <w:p w14:paraId="3B19F25A"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BFBFBF"/>
              <w:right w:val="single" w:sz="4" w:space="0" w:color="BFBFBF"/>
            </w:tcBorders>
            <w:shd w:val="clear" w:color="auto" w:fill="auto"/>
            <w:noWrap/>
            <w:vAlign w:val="bottom"/>
            <w:hideMark/>
          </w:tcPr>
          <w:p w14:paraId="6D734806"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14: The World</w:t>
            </w:r>
          </w:p>
        </w:tc>
        <w:tc>
          <w:tcPr>
            <w:tcW w:w="1545" w:type="dxa"/>
            <w:tcBorders>
              <w:top w:val="nil"/>
              <w:left w:val="nil"/>
              <w:bottom w:val="single" w:sz="4" w:space="0" w:color="BFBFBF"/>
              <w:right w:val="single" w:sz="4" w:space="0" w:color="auto"/>
            </w:tcBorders>
            <w:shd w:val="clear" w:color="auto" w:fill="auto"/>
            <w:noWrap/>
            <w:vAlign w:val="bottom"/>
            <w:hideMark/>
          </w:tcPr>
          <w:p w14:paraId="7A9F0C81"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 </w:t>
            </w:r>
          </w:p>
        </w:tc>
      </w:tr>
      <w:tr w:rsidR="00817CEC" w:rsidRPr="00580BD2" w14:paraId="045E8903" w14:textId="77777777" w:rsidTr="006430AB">
        <w:trPr>
          <w:trHeight w:val="308"/>
        </w:trPr>
        <w:tc>
          <w:tcPr>
            <w:tcW w:w="1073" w:type="dxa"/>
            <w:vMerge/>
            <w:tcBorders>
              <w:top w:val="nil"/>
              <w:left w:val="single" w:sz="4" w:space="0" w:color="auto"/>
              <w:bottom w:val="single" w:sz="4" w:space="0" w:color="000000"/>
              <w:right w:val="single" w:sz="4" w:space="0" w:color="BFBFBF"/>
            </w:tcBorders>
            <w:vAlign w:val="center"/>
            <w:hideMark/>
          </w:tcPr>
          <w:p w14:paraId="6A989A5E"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nil"/>
              <w:left w:val="single" w:sz="4" w:space="0" w:color="BFBFBF"/>
              <w:bottom w:val="single" w:sz="4" w:space="0" w:color="BFBFBF"/>
              <w:right w:val="single" w:sz="4" w:space="0" w:color="BFBFBF"/>
            </w:tcBorders>
            <w:vAlign w:val="center"/>
            <w:hideMark/>
          </w:tcPr>
          <w:p w14:paraId="7B66F218"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BFBFBF"/>
              <w:right w:val="single" w:sz="4" w:space="0" w:color="BFBFBF"/>
            </w:tcBorders>
            <w:shd w:val="clear" w:color="auto" w:fill="auto"/>
            <w:noWrap/>
            <w:vAlign w:val="bottom"/>
            <w:hideMark/>
          </w:tcPr>
          <w:p w14:paraId="37627CC7"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15: Technology</w:t>
            </w:r>
          </w:p>
        </w:tc>
        <w:tc>
          <w:tcPr>
            <w:tcW w:w="1545" w:type="dxa"/>
            <w:tcBorders>
              <w:top w:val="nil"/>
              <w:left w:val="nil"/>
              <w:bottom w:val="single" w:sz="4" w:space="0" w:color="BFBFBF"/>
              <w:right w:val="single" w:sz="4" w:space="0" w:color="auto"/>
            </w:tcBorders>
            <w:shd w:val="clear" w:color="auto" w:fill="auto"/>
            <w:noWrap/>
            <w:vAlign w:val="bottom"/>
            <w:hideMark/>
          </w:tcPr>
          <w:p w14:paraId="5859B416"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 </w:t>
            </w:r>
          </w:p>
        </w:tc>
      </w:tr>
      <w:tr w:rsidR="00817CEC" w:rsidRPr="00580BD2" w14:paraId="7D7B1B39" w14:textId="77777777" w:rsidTr="006430AB">
        <w:trPr>
          <w:trHeight w:val="308"/>
        </w:trPr>
        <w:tc>
          <w:tcPr>
            <w:tcW w:w="1073" w:type="dxa"/>
            <w:vMerge/>
            <w:tcBorders>
              <w:top w:val="nil"/>
              <w:left w:val="single" w:sz="4" w:space="0" w:color="auto"/>
              <w:bottom w:val="single" w:sz="4" w:space="0" w:color="000000"/>
              <w:right w:val="single" w:sz="4" w:space="0" w:color="BFBFBF"/>
            </w:tcBorders>
            <w:vAlign w:val="center"/>
            <w:hideMark/>
          </w:tcPr>
          <w:p w14:paraId="39BAE379"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14:paraId="51B57950"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Expressive arts and design</w:t>
            </w:r>
          </w:p>
        </w:tc>
        <w:tc>
          <w:tcPr>
            <w:tcW w:w="4523" w:type="dxa"/>
            <w:tcBorders>
              <w:top w:val="nil"/>
              <w:left w:val="nil"/>
              <w:bottom w:val="single" w:sz="4" w:space="0" w:color="BFBFBF"/>
              <w:right w:val="single" w:sz="4" w:space="0" w:color="BFBFBF"/>
            </w:tcBorders>
            <w:shd w:val="clear" w:color="auto" w:fill="auto"/>
            <w:noWrap/>
            <w:vAlign w:val="bottom"/>
            <w:hideMark/>
          </w:tcPr>
          <w:p w14:paraId="39FBE288"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16: Exploring and using media and materials</w:t>
            </w:r>
          </w:p>
        </w:tc>
        <w:tc>
          <w:tcPr>
            <w:tcW w:w="1545" w:type="dxa"/>
            <w:tcBorders>
              <w:top w:val="nil"/>
              <w:left w:val="nil"/>
              <w:bottom w:val="single" w:sz="4" w:space="0" w:color="BFBFBF"/>
              <w:right w:val="single" w:sz="4" w:space="0" w:color="auto"/>
            </w:tcBorders>
            <w:shd w:val="clear" w:color="auto" w:fill="auto"/>
            <w:noWrap/>
            <w:vAlign w:val="bottom"/>
            <w:hideMark/>
          </w:tcPr>
          <w:p w14:paraId="0F2E4789"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 </w:t>
            </w:r>
          </w:p>
        </w:tc>
      </w:tr>
      <w:tr w:rsidR="00817CEC" w:rsidRPr="00580BD2" w14:paraId="4361396E" w14:textId="77777777" w:rsidTr="006430AB">
        <w:trPr>
          <w:trHeight w:val="308"/>
        </w:trPr>
        <w:tc>
          <w:tcPr>
            <w:tcW w:w="1073" w:type="dxa"/>
            <w:vMerge/>
            <w:tcBorders>
              <w:top w:val="nil"/>
              <w:left w:val="single" w:sz="4" w:space="0" w:color="auto"/>
              <w:bottom w:val="single" w:sz="4" w:space="0" w:color="000000"/>
              <w:right w:val="single" w:sz="4" w:space="0" w:color="BFBFBF"/>
            </w:tcBorders>
            <w:vAlign w:val="center"/>
            <w:hideMark/>
          </w:tcPr>
          <w:p w14:paraId="76D04C58" w14:textId="77777777" w:rsidR="00817CEC" w:rsidRPr="00580BD2" w:rsidRDefault="00817CEC" w:rsidP="00817CEC">
            <w:pPr>
              <w:spacing w:after="0" w:line="240" w:lineRule="auto"/>
              <w:rPr>
                <w:rFonts w:eastAsia="Times New Roman" w:cstheme="majorHAnsi"/>
                <w:b/>
                <w:bCs/>
                <w:sz w:val="24"/>
                <w:szCs w:val="24"/>
                <w:lang w:eastAsia="en-GB"/>
              </w:rPr>
            </w:pPr>
          </w:p>
        </w:tc>
        <w:tc>
          <w:tcPr>
            <w:tcW w:w="2565" w:type="dxa"/>
            <w:vMerge/>
            <w:tcBorders>
              <w:top w:val="nil"/>
              <w:left w:val="single" w:sz="4" w:space="0" w:color="BFBFBF"/>
              <w:bottom w:val="single" w:sz="4" w:space="0" w:color="000000"/>
              <w:right w:val="single" w:sz="4" w:space="0" w:color="BFBFBF"/>
            </w:tcBorders>
            <w:vAlign w:val="center"/>
            <w:hideMark/>
          </w:tcPr>
          <w:p w14:paraId="300DC8E0" w14:textId="77777777" w:rsidR="00817CEC" w:rsidRPr="00580BD2" w:rsidRDefault="00817CEC" w:rsidP="00817CEC">
            <w:pPr>
              <w:spacing w:after="0" w:line="240" w:lineRule="auto"/>
              <w:rPr>
                <w:rFonts w:eastAsia="Times New Roman" w:cstheme="majorHAnsi"/>
                <w:sz w:val="24"/>
                <w:szCs w:val="24"/>
                <w:lang w:eastAsia="en-GB"/>
              </w:rPr>
            </w:pPr>
          </w:p>
        </w:tc>
        <w:tc>
          <w:tcPr>
            <w:tcW w:w="4523" w:type="dxa"/>
            <w:tcBorders>
              <w:top w:val="nil"/>
              <w:left w:val="nil"/>
              <w:bottom w:val="single" w:sz="4" w:space="0" w:color="auto"/>
              <w:right w:val="single" w:sz="4" w:space="0" w:color="BFBFBF"/>
            </w:tcBorders>
            <w:shd w:val="clear" w:color="auto" w:fill="auto"/>
            <w:noWrap/>
            <w:vAlign w:val="bottom"/>
            <w:hideMark/>
          </w:tcPr>
          <w:p w14:paraId="1BE00B6D" w14:textId="77777777" w:rsidR="00817CEC" w:rsidRPr="00580BD2" w:rsidRDefault="00817CEC" w:rsidP="00817CEC">
            <w:pPr>
              <w:spacing w:after="0" w:line="240" w:lineRule="auto"/>
              <w:rPr>
                <w:rFonts w:eastAsia="Times New Roman" w:cstheme="majorHAnsi"/>
                <w:sz w:val="24"/>
                <w:szCs w:val="24"/>
                <w:lang w:eastAsia="en-GB"/>
              </w:rPr>
            </w:pPr>
            <w:r w:rsidRPr="00580BD2">
              <w:rPr>
                <w:rFonts w:eastAsia="Times New Roman" w:cstheme="majorHAnsi"/>
                <w:sz w:val="24"/>
                <w:szCs w:val="24"/>
                <w:lang w:eastAsia="en-GB"/>
              </w:rPr>
              <w:t>17: Being imaginative</w:t>
            </w:r>
          </w:p>
        </w:tc>
        <w:tc>
          <w:tcPr>
            <w:tcW w:w="1545" w:type="dxa"/>
            <w:tcBorders>
              <w:top w:val="nil"/>
              <w:left w:val="nil"/>
              <w:bottom w:val="single" w:sz="4" w:space="0" w:color="auto"/>
              <w:right w:val="single" w:sz="4" w:space="0" w:color="auto"/>
            </w:tcBorders>
            <w:shd w:val="clear" w:color="auto" w:fill="auto"/>
            <w:noWrap/>
            <w:vAlign w:val="bottom"/>
            <w:hideMark/>
          </w:tcPr>
          <w:p w14:paraId="7D230419" w14:textId="77777777" w:rsidR="00817CEC" w:rsidRPr="00580BD2" w:rsidRDefault="00817CEC" w:rsidP="00817CEC">
            <w:pPr>
              <w:spacing w:after="0" w:line="240" w:lineRule="auto"/>
              <w:jc w:val="center"/>
              <w:rPr>
                <w:rFonts w:eastAsia="Times New Roman" w:cstheme="majorHAnsi"/>
                <w:sz w:val="24"/>
                <w:szCs w:val="24"/>
                <w:lang w:eastAsia="en-GB"/>
              </w:rPr>
            </w:pPr>
            <w:r w:rsidRPr="00580BD2">
              <w:rPr>
                <w:rFonts w:eastAsia="Times New Roman" w:cstheme="majorHAnsi"/>
                <w:sz w:val="24"/>
                <w:szCs w:val="24"/>
                <w:lang w:eastAsia="en-GB"/>
              </w:rPr>
              <w:t> </w:t>
            </w:r>
          </w:p>
        </w:tc>
      </w:tr>
    </w:tbl>
    <w:p w14:paraId="03E4FEAA" w14:textId="77777777" w:rsidR="00817CEC" w:rsidRPr="00580BD2" w:rsidRDefault="00817CEC" w:rsidP="00817CEC">
      <w:pPr>
        <w:pStyle w:val="Default"/>
        <w:rPr>
          <w:rStyle w:val="SubtleEmphasis"/>
          <w:rFonts w:asciiTheme="minorHAnsi" w:eastAsiaTheme="minorEastAsia" w:hAnsiTheme="minorHAnsi" w:cstheme="minorBidi"/>
        </w:rPr>
      </w:pPr>
    </w:p>
    <w:p w14:paraId="030A8119" w14:textId="77777777" w:rsidR="00817CEC" w:rsidRDefault="00817CEC" w:rsidP="006430AB">
      <w:pPr>
        <w:pStyle w:val="Default"/>
        <w:rPr>
          <w:rFonts w:asciiTheme="minorHAnsi" w:hAnsiTheme="minorHAnsi" w:cstheme="majorHAnsi"/>
        </w:rPr>
      </w:pPr>
      <w:r w:rsidRPr="00580BD2">
        <w:rPr>
          <w:rFonts w:asciiTheme="minorHAnsi" w:hAnsiTheme="minorHAnsi" w:cstheme="majorHAnsi"/>
        </w:rPr>
        <w:t xml:space="preserve">Children achieving at least the expected level in the </w:t>
      </w:r>
      <w:r>
        <w:rPr>
          <w:rFonts w:asciiTheme="minorHAnsi" w:hAnsiTheme="minorHAnsi" w:cstheme="majorHAnsi"/>
        </w:rPr>
        <w:t>Early Learning Goals (</w:t>
      </w:r>
      <w:r w:rsidRPr="00580BD2">
        <w:rPr>
          <w:rFonts w:asciiTheme="minorHAnsi" w:hAnsiTheme="minorHAnsi" w:cstheme="majorHAnsi"/>
        </w:rPr>
        <w:t>ELGs</w:t>
      </w:r>
      <w:r>
        <w:rPr>
          <w:rFonts w:asciiTheme="minorHAnsi" w:hAnsiTheme="minorHAnsi" w:cstheme="majorHAnsi"/>
        </w:rPr>
        <w:t>)</w:t>
      </w:r>
      <w:r w:rsidRPr="00580BD2">
        <w:rPr>
          <w:rFonts w:asciiTheme="minorHAnsi" w:hAnsiTheme="minorHAnsi" w:cstheme="majorHAnsi"/>
        </w:rPr>
        <w:t xml:space="preserve"> within the three prime areas of learning and within literacy and mathematics are classed as achieving a 'good level of development'.</w:t>
      </w:r>
    </w:p>
    <w:p w14:paraId="45075E8B" w14:textId="77777777" w:rsidR="00817CEC" w:rsidRDefault="00817CEC" w:rsidP="00817CEC">
      <w:pPr>
        <w:pStyle w:val="Default"/>
        <w:jc w:val="both"/>
        <w:rPr>
          <w:rFonts w:asciiTheme="minorHAnsi" w:hAnsiTheme="minorHAnsi" w:cstheme="majorHAnsi"/>
        </w:rPr>
      </w:pPr>
    </w:p>
    <w:p w14:paraId="46C2D8C2" w14:textId="77777777" w:rsidR="00817CEC" w:rsidRPr="005C3E51" w:rsidRDefault="00817CEC" w:rsidP="006430AB">
      <w:pPr>
        <w:rPr>
          <w:rFonts w:cstheme="majorHAnsi"/>
          <w:sz w:val="24"/>
          <w:szCs w:val="24"/>
          <w:shd w:val="clear" w:color="auto" w:fill="FFFFFF"/>
        </w:rPr>
      </w:pPr>
      <w:r w:rsidRPr="005C3E51">
        <w:rPr>
          <w:rFonts w:cstheme="majorHAnsi"/>
          <w:sz w:val="24"/>
          <w:szCs w:val="24"/>
          <w:shd w:val="clear" w:color="auto" w:fill="FFFFFF"/>
        </w:rPr>
        <w:t xml:space="preserve">For children to achieve at least </w:t>
      </w:r>
      <w:r>
        <w:rPr>
          <w:rFonts w:cstheme="majorHAnsi"/>
          <w:sz w:val="24"/>
          <w:szCs w:val="24"/>
          <w:shd w:val="clear" w:color="auto" w:fill="FFFFFF"/>
        </w:rPr>
        <w:t>an</w:t>
      </w:r>
      <w:r w:rsidRPr="005C3E51">
        <w:rPr>
          <w:rFonts w:cstheme="majorHAnsi"/>
          <w:sz w:val="24"/>
          <w:szCs w:val="24"/>
          <w:shd w:val="clear" w:color="auto" w:fill="FFFFFF"/>
        </w:rPr>
        <w:t xml:space="preserve"> </w:t>
      </w:r>
      <w:r>
        <w:rPr>
          <w:rFonts w:cstheme="majorHAnsi"/>
          <w:sz w:val="24"/>
          <w:szCs w:val="24"/>
          <w:shd w:val="clear" w:color="auto" w:fill="FFFFFF"/>
        </w:rPr>
        <w:t>‘</w:t>
      </w:r>
      <w:r w:rsidRPr="005C3E51">
        <w:rPr>
          <w:rFonts w:cstheme="majorHAnsi"/>
          <w:sz w:val="24"/>
          <w:szCs w:val="24"/>
          <w:shd w:val="clear" w:color="auto" w:fill="FFFFFF"/>
        </w:rPr>
        <w:t>expected</w:t>
      </w:r>
      <w:r>
        <w:rPr>
          <w:rFonts w:cstheme="majorHAnsi"/>
          <w:sz w:val="24"/>
          <w:szCs w:val="24"/>
          <w:shd w:val="clear" w:color="auto" w:fill="FFFFFF"/>
        </w:rPr>
        <w:t>’</w:t>
      </w:r>
      <w:r w:rsidRPr="005C3E51">
        <w:rPr>
          <w:rFonts w:cstheme="majorHAnsi"/>
          <w:sz w:val="24"/>
          <w:szCs w:val="24"/>
          <w:shd w:val="clear" w:color="auto" w:fill="FFFFFF"/>
        </w:rPr>
        <w:t xml:space="preserve"> level of development means that they achieved ‘expected’ or ‘exceeded’ levels within all three communication and language early learning goals (listening and attention, understanding, speaking) at the end of the Early Years Foundation Stage (EYFS).</w:t>
      </w:r>
    </w:p>
    <w:p w14:paraId="0A2813EF" w14:textId="77777777" w:rsidR="00817CEC" w:rsidRDefault="00817CEC" w:rsidP="00817CEC">
      <w:pPr>
        <w:spacing w:before="45" w:after="45" w:line="240" w:lineRule="auto"/>
        <w:rPr>
          <w:rFonts w:cstheme="majorHAnsi"/>
          <w:sz w:val="24"/>
          <w:szCs w:val="24"/>
          <w:shd w:val="clear" w:color="auto" w:fill="FFFFFF"/>
        </w:rPr>
      </w:pPr>
    </w:p>
    <w:p w14:paraId="6A7B09E7" w14:textId="5403BE64" w:rsidR="00817CEC" w:rsidRPr="006430AB" w:rsidRDefault="00817CEC" w:rsidP="00817CEC">
      <w:pPr>
        <w:spacing w:before="45" w:after="45" w:line="240" w:lineRule="auto"/>
        <w:rPr>
          <w:rStyle w:val="SubtleEmphasis"/>
          <w:rFonts w:cstheme="majorHAnsi"/>
          <w:b/>
          <w:i w:val="0"/>
          <w:color w:val="auto"/>
        </w:rPr>
      </w:pPr>
      <w:r w:rsidRPr="006430AB">
        <w:rPr>
          <w:rFonts w:cstheme="majorHAnsi"/>
          <w:b/>
          <w:sz w:val="24"/>
          <w:szCs w:val="24"/>
          <w:shd w:val="clear" w:color="auto" w:fill="FFFFFF"/>
        </w:rPr>
        <w:t>Table 2.</w:t>
      </w:r>
      <w:r w:rsidR="00D05BB1">
        <w:rPr>
          <w:rFonts w:cstheme="majorHAnsi"/>
          <w:b/>
          <w:sz w:val="24"/>
          <w:szCs w:val="24"/>
          <w:shd w:val="clear" w:color="auto" w:fill="FFFFFF"/>
        </w:rPr>
        <w:t>2:</w:t>
      </w:r>
      <w:r w:rsidRPr="006430AB">
        <w:rPr>
          <w:rFonts w:cstheme="majorHAnsi"/>
          <w:b/>
          <w:sz w:val="24"/>
          <w:szCs w:val="24"/>
          <w:shd w:val="clear" w:color="auto" w:fill="FFFFFF"/>
        </w:rPr>
        <w:t xml:space="preserve"> School Readiness Indicators</w:t>
      </w:r>
    </w:p>
    <w:tbl>
      <w:tblPr>
        <w:tblpPr w:leftFromText="180" w:rightFromText="180" w:vertAnchor="text" w:horzAnchor="margin" w:tblpY="43"/>
        <w:tblW w:w="9913" w:type="dxa"/>
        <w:tblLook w:val="04A0" w:firstRow="1" w:lastRow="0" w:firstColumn="1" w:lastColumn="0" w:noHBand="0" w:noVBand="1"/>
      </w:tblPr>
      <w:tblGrid>
        <w:gridCol w:w="3534"/>
        <w:gridCol w:w="672"/>
        <w:gridCol w:w="1039"/>
        <w:gridCol w:w="1124"/>
        <w:gridCol w:w="1276"/>
        <w:gridCol w:w="1276"/>
        <w:gridCol w:w="992"/>
      </w:tblGrid>
      <w:tr w:rsidR="00817CEC" w:rsidRPr="00580BD2" w14:paraId="4694312D" w14:textId="77777777" w:rsidTr="006430AB">
        <w:trPr>
          <w:trHeight w:val="765"/>
        </w:trPr>
        <w:tc>
          <w:tcPr>
            <w:tcW w:w="3534" w:type="dxa"/>
            <w:tcBorders>
              <w:top w:val="single" w:sz="8" w:space="0" w:color="auto"/>
              <w:left w:val="single" w:sz="8" w:space="0" w:color="auto"/>
              <w:bottom w:val="single" w:sz="4" w:space="0" w:color="808080"/>
              <w:right w:val="single" w:sz="4" w:space="0" w:color="808080"/>
            </w:tcBorders>
            <w:shd w:val="clear" w:color="auto" w:fill="F2F2F2" w:themeFill="background1" w:themeFillShade="F2"/>
            <w:vAlign w:val="center"/>
            <w:hideMark/>
          </w:tcPr>
          <w:p w14:paraId="0D37D63C" w14:textId="77777777" w:rsidR="00817CEC" w:rsidRPr="00580BD2" w:rsidRDefault="00817CEC" w:rsidP="00817CEC">
            <w:pPr>
              <w:spacing w:after="0" w:line="240" w:lineRule="auto"/>
              <w:jc w:val="center"/>
              <w:rPr>
                <w:rFonts w:eastAsia="Times New Roman" w:cstheme="majorHAnsi"/>
                <w:b/>
                <w:bCs/>
                <w:color w:val="000000"/>
                <w:sz w:val="24"/>
                <w:szCs w:val="24"/>
                <w:lang w:eastAsia="en-GB"/>
              </w:rPr>
            </w:pPr>
            <w:r w:rsidRPr="00580BD2">
              <w:rPr>
                <w:rFonts w:eastAsia="Times New Roman" w:cstheme="majorHAnsi"/>
                <w:b/>
                <w:bCs/>
                <w:color w:val="000000"/>
                <w:sz w:val="24"/>
                <w:szCs w:val="24"/>
                <w:lang w:eastAsia="en-GB"/>
              </w:rPr>
              <w:t>School Readiness Indicators</w:t>
            </w:r>
          </w:p>
        </w:tc>
        <w:tc>
          <w:tcPr>
            <w:tcW w:w="672" w:type="dxa"/>
            <w:tcBorders>
              <w:top w:val="single" w:sz="8" w:space="0" w:color="auto"/>
              <w:left w:val="nil"/>
              <w:bottom w:val="single" w:sz="4" w:space="0" w:color="808080"/>
              <w:right w:val="single" w:sz="4" w:space="0" w:color="808080"/>
            </w:tcBorders>
            <w:shd w:val="clear" w:color="auto" w:fill="F2F2F2" w:themeFill="background1" w:themeFillShade="F2"/>
            <w:vAlign w:val="center"/>
            <w:hideMark/>
          </w:tcPr>
          <w:p w14:paraId="3222842E" w14:textId="77777777" w:rsidR="00817CEC" w:rsidRPr="00580BD2" w:rsidRDefault="00817CEC" w:rsidP="00817CEC">
            <w:pPr>
              <w:spacing w:after="0" w:line="240" w:lineRule="auto"/>
              <w:jc w:val="center"/>
              <w:rPr>
                <w:rFonts w:eastAsia="Times New Roman" w:cstheme="majorHAnsi"/>
                <w:b/>
                <w:bCs/>
                <w:color w:val="000000"/>
                <w:sz w:val="24"/>
                <w:szCs w:val="24"/>
                <w:lang w:eastAsia="en-GB"/>
              </w:rPr>
            </w:pPr>
            <w:r w:rsidRPr="00580BD2">
              <w:rPr>
                <w:rFonts w:eastAsia="Times New Roman" w:cstheme="majorHAnsi"/>
                <w:b/>
                <w:bCs/>
                <w:color w:val="000000"/>
                <w:sz w:val="24"/>
                <w:szCs w:val="24"/>
                <w:lang w:eastAsia="en-GB"/>
              </w:rPr>
              <w:t>Age</w:t>
            </w:r>
          </w:p>
        </w:tc>
        <w:tc>
          <w:tcPr>
            <w:tcW w:w="1039" w:type="dxa"/>
            <w:tcBorders>
              <w:top w:val="single" w:sz="8" w:space="0" w:color="auto"/>
              <w:left w:val="nil"/>
              <w:bottom w:val="single" w:sz="4" w:space="0" w:color="808080"/>
              <w:right w:val="single" w:sz="4" w:space="0" w:color="808080"/>
            </w:tcBorders>
            <w:shd w:val="clear" w:color="auto" w:fill="F2F2F2" w:themeFill="background1" w:themeFillShade="F2"/>
            <w:vAlign w:val="center"/>
            <w:hideMark/>
          </w:tcPr>
          <w:p w14:paraId="71359E04" w14:textId="77777777" w:rsidR="00817CEC" w:rsidRPr="00580BD2" w:rsidRDefault="00817CEC" w:rsidP="00817CEC">
            <w:pPr>
              <w:spacing w:after="0" w:line="240" w:lineRule="auto"/>
              <w:jc w:val="center"/>
              <w:rPr>
                <w:rFonts w:eastAsia="Times New Roman" w:cstheme="majorHAnsi"/>
                <w:b/>
                <w:bCs/>
                <w:color w:val="000000"/>
                <w:sz w:val="24"/>
                <w:szCs w:val="24"/>
                <w:lang w:eastAsia="en-GB"/>
              </w:rPr>
            </w:pPr>
            <w:r w:rsidRPr="00580BD2">
              <w:rPr>
                <w:rFonts w:eastAsia="Times New Roman" w:cstheme="majorHAnsi"/>
                <w:b/>
                <w:bCs/>
                <w:color w:val="000000"/>
                <w:sz w:val="24"/>
                <w:szCs w:val="24"/>
                <w:lang w:eastAsia="en-GB"/>
              </w:rPr>
              <w:t>Time period</w:t>
            </w:r>
          </w:p>
        </w:tc>
        <w:tc>
          <w:tcPr>
            <w:tcW w:w="1124" w:type="dxa"/>
            <w:tcBorders>
              <w:top w:val="single" w:sz="8" w:space="0" w:color="auto"/>
              <w:left w:val="nil"/>
              <w:bottom w:val="single" w:sz="4" w:space="0" w:color="808080"/>
              <w:right w:val="single" w:sz="4" w:space="0" w:color="808080"/>
            </w:tcBorders>
            <w:shd w:val="clear" w:color="auto" w:fill="F2F2F2" w:themeFill="background1" w:themeFillShade="F2"/>
            <w:vAlign w:val="center"/>
            <w:hideMark/>
          </w:tcPr>
          <w:p w14:paraId="30FC0055" w14:textId="77777777" w:rsidR="00817CEC" w:rsidRPr="00580BD2" w:rsidRDefault="00817CEC" w:rsidP="00817CEC">
            <w:pPr>
              <w:spacing w:after="0" w:line="240" w:lineRule="auto"/>
              <w:jc w:val="center"/>
              <w:rPr>
                <w:rFonts w:eastAsia="Times New Roman" w:cstheme="majorHAnsi"/>
                <w:b/>
                <w:bCs/>
                <w:color w:val="000000"/>
                <w:sz w:val="24"/>
                <w:szCs w:val="24"/>
                <w:lang w:eastAsia="en-GB"/>
              </w:rPr>
            </w:pPr>
            <w:r>
              <w:rPr>
                <w:rFonts w:eastAsia="Times New Roman" w:cstheme="majorHAnsi"/>
                <w:b/>
                <w:bCs/>
                <w:color w:val="000000"/>
                <w:sz w:val="24"/>
                <w:szCs w:val="24"/>
                <w:lang w:eastAsia="en-GB"/>
              </w:rPr>
              <w:t>Sandwell %</w:t>
            </w:r>
          </w:p>
        </w:tc>
        <w:tc>
          <w:tcPr>
            <w:tcW w:w="1276" w:type="dxa"/>
            <w:tcBorders>
              <w:top w:val="single" w:sz="8" w:space="0" w:color="auto"/>
              <w:left w:val="nil"/>
              <w:bottom w:val="single" w:sz="4" w:space="0" w:color="808080"/>
              <w:right w:val="single" w:sz="4" w:space="0" w:color="808080"/>
            </w:tcBorders>
            <w:shd w:val="clear" w:color="auto" w:fill="F2F2F2" w:themeFill="background1" w:themeFillShade="F2"/>
            <w:vAlign w:val="center"/>
            <w:hideMark/>
          </w:tcPr>
          <w:p w14:paraId="4EA5808A" w14:textId="77777777" w:rsidR="00817CEC" w:rsidRPr="00580BD2" w:rsidRDefault="00817CEC" w:rsidP="00817CEC">
            <w:pPr>
              <w:spacing w:after="0" w:line="240" w:lineRule="auto"/>
              <w:jc w:val="center"/>
              <w:rPr>
                <w:rFonts w:eastAsia="Times New Roman" w:cstheme="majorHAnsi"/>
                <w:b/>
                <w:bCs/>
                <w:color w:val="000000"/>
                <w:sz w:val="24"/>
                <w:szCs w:val="24"/>
                <w:lang w:eastAsia="en-GB"/>
              </w:rPr>
            </w:pPr>
            <w:r w:rsidRPr="00580BD2">
              <w:rPr>
                <w:rFonts w:eastAsia="Times New Roman" w:cstheme="majorHAnsi"/>
                <w:b/>
                <w:bCs/>
                <w:color w:val="000000"/>
                <w:sz w:val="24"/>
                <w:szCs w:val="24"/>
                <w:lang w:eastAsia="en-GB"/>
              </w:rPr>
              <w:t xml:space="preserve">Compared to England </w:t>
            </w:r>
          </w:p>
        </w:tc>
        <w:tc>
          <w:tcPr>
            <w:tcW w:w="1276" w:type="dxa"/>
            <w:tcBorders>
              <w:top w:val="single" w:sz="8" w:space="0" w:color="auto"/>
              <w:left w:val="nil"/>
              <w:bottom w:val="single" w:sz="4" w:space="0" w:color="808080"/>
              <w:right w:val="single" w:sz="4" w:space="0" w:color="808080"/>
            </w:tcBorders>
            <w:shd w:val="clear" w:color="auto" w:fill="F2F2F2" w:themeFill="background1" w:themeFillShade="F2"/>
            <w:vAlign w:val="center"/>
            <w:hideMark/>
          </w:tcPr>
          <w:p w14:paraId="3E4108CC" w14:textId="77777777" w:rsidR="00817CEC" w:rsidRPr="00580BD2" w:rsidRDefault="00817CEC" w:rsidP="00817CEC">
            <w:pPr>
              <w:spacing w:after="0" w:line="240" w:lineRule="auto"/>
              <w:jc w:val="center"/>
              <w:rPr>
                <w:rFonts w:eastAsia="Times New Roman" w:cstheme="majorHAnsi"/>
                <w:b/>
                <w:bCs/>
                <w:color w:val="000000"/>
                <w:sz w:val="24"/>
                <w:szCs w:val="24"/>
                <w:lang w:eastAsia="en-GB"/>
              </w:rPr>
            </w:pPr>
            <w:r w:rsidRPr="00580BD2">
              <w:rPr>
                <w:rFonts w:eastAsia="Times New Roman" w:cstheme="majorHAnsi"/>
                <w:b/>
                <w:bCs/>
                <w:color w:val="000000"/>
                <w:sz w:val="24"/>
                <w:szCs w:val="24"/>
                <w:lang w:eastAsia="en-GB"/>
              </w:rPr>
              <w:t>Compared to West Midlands</w:t>
            </w:r>
          </w:p>
        </w:tc>
        <w:tc>
          <w:tcPr>
            <w:tcW w:w="992" w:type="dxa"/>
            <w:tcBorders>
              <w:top w:val="single" w:sz="8" w:space="0" w:color="auto"/>
              <w:left w:val="nil"/>
              <w:bottom w:val="single" w:sz="4" w:space="0" w:color="808080"/>
              <w:right w:val="single" w:sz="8" w:space="0" w:color="auto"/>
            </w:tcBorders>
            <w:shd w:val="clear" w:color="auto" w:fill="F2F2F2" w:themeFill="background1" w:themeFillShade="F2"/>
            <w:vAlign w:val="center"/>
            <w:hideMark/>
          </w:tcPr>
          <w:p w14:paraId="5FFB4BB4" w14:textId="77777777" w:rsidR="00817CEC" w:rsidRPr="00580BD2" w:rsidRDefault="00817CEC" w:rsidP="00817CEC">
            <w:pPr>
              <w:spacing w:after="0" w:line="240" w:lineRule="auto"/>
              <w:jc w:val="center"/>
              <w:rPr>
                <w:rFonts w:eastAsia="Times New Roman" w:cstheme="majorHAnsi"/>
                <w:b/>
                <w:bCs/>
                <w:color w:val="000000"/>
                <w:sz w:val="24"/>
                <w:szCs w:val="24"/>
                <w:lang w:eastAsia="en-GB"/>
              </w:rPr>
            </w:pPr>
            <w:r w:rsidRPr="00580BD2">
              <w:rPr>
                <w:rFonts w:eastAsia="Times New Roman" w:cstheme="majorHAnsi"/>
                <w:b/>
                <w:bCs/>
                <w:color w:val="000000"/>
                <w:sz w:val="24"/>
                <w:szCs w:val="24"/>
                <w:lang w:eastAsia="en-GB"/>
              </w:rPr>
              <w:t>Trend</w:t>
            </w:r>
          </w:p>
        </w:tc>
      </w:tr>
      <w:tr w:rsidR="00817CEC" w:rsidRPr="00580BD2" w14:paraId="485EBA77" w14:textId="77777777" w:rsidTr="006430AB">
        <w:trPr>
          <w:trHeight w:val="510"/>
        </w:trPr>
        <w:tc>
          <w:tcPr>
            <w:tcW w:w="3534" w:type="dxa"/>
            <w:tcBorders>
              <w:top w:val="nil"/>
              <w:left w:val="single" w:sz="8" w:space="0" w:color="auto"/>
              <w:bottom w:val="single" w:sz="4" w:space="0" w:color="808080"/>
              <w:right w:val="single" w:sz="4" w:space="0" w:color="808080"/>
            </w:tcBorders>
            <w:shd w:val="clear" w:color="auto" w:fill="auto"/>
            <w:vAlign w:val="center"/>
            <w:hideMark/>
          </w:tcPr>
          <w:p w14:paraId="3E2F5DB2"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color w:val="000000"/>
                <w:sz w:val="24"/>
                <w:szCs w:val="24"/>
                <w:lang w:eastAsia="en-GB"/>
              </w:rPr>
              <w:t xml:space="preserve">% of children achieving a </w:t>
            </w:r>
            <w:r w:rsidRPr="00580BD2">
              <w:rPr>
                <w:rFonts w:eastAsia="Times New Roman" w:cstheme="majorHAnsi"/>
                <w:b/>
                <w:bCs/>
                <w:color w:val="000000"/>
                <w:sz w:val="24"/>
                <w:szCs w:val="24"/>
                <w:lang w:eastAsia="en-GB"/>
              </w:rPr>
              <w:t>good level</w:t>
            </w:r>
            <w:r w:rsidRPr="00580BD2">
              <w:rPr>
                <w:rFonts w:eastAsia="Times New Roman" w:cstheme="majorHAnsi"/>
                <w:color w:val="000000"/>
                <w:sz w:val="24"/>
                <w:szCs w:val="24"/>
                <w:lang w:eastAsia="en-GB"/>
              </w:rPr>
              <w:t xml:space="preserve"> of development at the end of reception</w:t>
            </w:r>
          </w:p>
        </w:tc>
        <w:tc>
          <w:tcPr>
            <w:tcW w:w="672" w:type="dxa"/>
            <w:tcBorders>
              <w:top w:val="nil"/>
              <w:left w:val="nil"/>
              <w:bottom w:val="single" w:sz="4" w:space="0" w:color="808080"/>
              <w:right w:val="single" w:sz="4" w:space="0" w:color="808080"/>
            </w:tcBorders>
            <w:shd w:val="clear" w:color="auto" w:fill="auto"/>
            <w:noWrap/>
            <w:vAlign w:val="center"/>
            <w:hideMark/>
          </w:tcPr>
          <w:p w14:paraId="3A2A410B"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color w:val="000000"/>
                <w:sz w:val="24"/>
                <w:szCs w:val="24"/>
                <w:lang w:eastAsia="en-GB"/>
              </w:rPr>
              <w:t>5 yrs</w:t>
            </w:r>
          </w:p>
        </w:tc>
        <w:tc>
          <w:tcPr>
            <w:tcW w:w="1039" w:type="dxa"/>
            <w:tcBorders>
              <w:top w:val="nil"/>
              <w:left w:val="nil"/>
              <w:bottom w:val="single" w:sz="4" w:space="0" w:color="808080"/>
              <w:right w:val="single" w:sz="4" w:space="0" w:color="808080"/>
            </w:tcBorders>
            <w:shd w:val="clear" w:color="auto" w:fill="auto"/>
            <w:noWrap/>
            <w:vAlign w:val="center"/>
            <w:hideMark/>
          </w:tcPr>
          <w:p w14:paraId="020E1280"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color w:val="000000"/>
                <w:sz w:val="24"/>
                <w:szCs w:val="24"/>
                <w:lang w:eastAsia="en-GB"/>
              </w:rPr>
              <w:t>201</w:t>
            </w:r>
            <w:r>
              <w:rPr>
                <w:rFonts w:eastAsia="Times New Roman" w:cstheme="majorHAnsi"/>
                <w:color w:val="000000"/>
                <w:sz w:val="24"/>
                <w:szCs w:val="24"/>
                <w:lang w:eastAsia="en-GB"/>
              </w:rPr>
              <w:t>8/19</w:t>
            </w:r>
          </w:p>
        </w:tc>
        <w:tc>
          <w:tcPr>
            <w:tcW w:w="1124" w:type="dxa"/>
            <w:tcBorders>
              <w:top w:val="nil"/>
              <w:left w:val="nil"/>
              <w:bottom w:val="single" w:sz="4" w:space="0" w:color="808080"/>
              <w:right w:val="single" w:sz="4" w:space="0" w:color="808080"/>
            </w:tcBorders>
            <w:shd w:val="clear" w:color="auto" w:fill="auto"/>
            <w:noWrap/>
            <w:vAlign w:val="center"/>
            <w:hideMark/>
          </w:tcPr>
          <w:p w14:paraId="70E86142"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color w:val="000000"/>
                <w:sz w:val="24"/>
                <w:szCs w:val="24"/>
                <w:lang w:eastAsia="en-GB"/>
              </w:rPr>
              <w:t>66.</w:t>
            </w:r>
            <w:r>
              <w:rPr>
                <w:rFonts w:eastAsia="Times New Roman" w:cstheme="majorHAnsi"/>
                <w:color w:val="000000"/>
                <w:sz w:val="24"/>
                <w:szCs w:val="24"/>
                <w:lang w:eastAsia="en-GB"/>
              </w:rPr>
              <w:t>8</w:t>
            </w:r>
          </w:p>
        </w:tc>
        <w:tc>
          <w:tcPr>
            <w:tcW w:w="1276" w:type="dxa"/>
            <w:tcBorders>
              <w:top w:val="nil"/>
              <w:left w:val="nil"/>
              <w:bottom w:val="single" w:sz="4" w:space="0" w:color="808080"/>
              <w:right w:val="single" w:sz="4" w:space="0" w:color="808080"/>
            </w:tcBorders>
            <w:shd w:val="clear" w:color="000000" w:fill="FFC7CE"/>
            <w:noWrap/>
            <w:vAlign w:val="center"/>
            <w:hideMark/>
          </w:tcPr>
          <w:p w14:paraId="1DE819FE" w14:textId="77777777" w:rsidR="00817CEC" w:rsidRPr="00580BD2" w:rsidRDefault="00817CEC" w:rsidP="00817CEC">
            <w:pPr>
              <w:spacing w:after="0" w:line="240" w:lineRule="auto"/>
              <w:jc w:val="center"/>
              <w:rPr>
                <w:rFonts w:eastAsia="Times New Roman" w:cstheme="majorHAnsi"/>
                <w:color w:val="9C0006"/>
                <w:sz w:val="24"/>
                <w:szCs w:val="24"/>
                <w:lang w:eastAsia="en-GB"/>
              </w:rPr>
            </w:pPr>
            <w:r w:rsidRPr="00580BD2">
              <w:rPr>
                <w:rFonts w:eastAsia="Times New Roman" w:cstheme="majorHAnsi"/>
                <w:color w:val="9C0006"/>
                <w:sz w:val="24"/>
                <w:szCs w:val="24"/>
                <w:lang w:eastAsia="en-GB"/>
              </w:rPr>
              <w:t>Worse</w:t>
            </w:r>
          </w:p>
        </w:tc>
        <w:tc>
          <w:tcPr>
            <w:tcW w:w="1276" w:type="dxa"/>
            <w:tcBorders>
              <w:top w:val="nil"/>
              <w:left w:val="nil"/>
              <w:bottom w:val="single" w:sz="4" w:space="0" w:color="808080"/>
              <w:right w:val="single" w:sz="4" w:space="0" w:color="808080"/>
            </w:tcBorders>
            <w:shd w:val="clear" w:color="000000" w:fill="FFC7CE"/>
            <w:noWrap/>
            <w:vAlign w:val="center"/>
            <w:hideMark/>
          </w:tcPr>
          <w:p w14:paraId="6C39D6CC" w14:textId="77777777" w:rsidR="00817CEC" w:rsidRPr="00580BD2" w:rsidRDefault="00817CEC" w:rsidP="00817CEC">
            <w:pPr>
              <w:spacing w:after="0" w:line="240" w:lineRule="auto"/>
              <w:jc w:val="center"/>
              <w:rPr>
                <w:rFonts w:eastAsia="Times New Roman" w:cstheme="majorHAnsi"/>
                <w:color w:val="9C0006"/>
                <w:sz w:val="24"/>
                <w:szCs w:val="24"/>
                <w:lang w:eastAsia="en-GB"/>
              </w:rPr>
            </w:pPr>
            <w:r w:rsidRPr="00580BD2">
              <w:rPr>
                <w:rFonts w:eastAsia="Times New Roman" w:cstheme="majorHAnsi"/>
                <w:color w:val="9C0006"/>
                <w:sz w:val="24"/>
                <w:szCs w:val="24"/>
                <w:lang w:eastAsia="en-GB"/>
              </w:rPr>
              <w:t>Worse</w:t>
            </w:r>
          </w:p>
        </w:tc>
        <w:tc>
          <w:tcPr>
            <w:tcW w:w="992" w:type="dxa"/>
            <w:tcBorders>
              <w:top w:val="nil"/>
              <w:left w:val="nil"/>
              <w:bottom w:val="single" w:sz="4" w:space="0" w:color="808080"/>
              <w:right w:val="single" w:sz="8" w:space="0" w:color="auto"/>
            </w:tcBorders>
            <w:shd w:val="clear" w:color="auto" w:fill="auto"/>
            <w:noWrap/>
            <w:vAlign w:val="bottom"/>
            <w:hideMark/>
          </w:tcPr>
          <w:p w14:paraId="01F252CA" w14:textId="77777777" w:rsidR="00817CEC" w:rsidRPr="00580BD2" w:rsidRDefault="00817CEC" w:rsidP="00817CEC">
            <w:pPr>
              <w:spacing w:after="0" w:line="240" w:lineRule="auto"/>
              <w:rPr>
                <w:rFonts w:eastAsia="Times New Roman" w:cstheme="majorHAnsi"/>
                <w:color w:val="000000"/>
                <w:sz w:val="24"/>
                <w:szCs w:val="24"/>
                <w:lang w:eastAsia="en-GB"/>
              </w:rPr>
            </w:pPr>
            <w:r w:rsidRPr="00580BD2">
              <w:rPr>
                <w:rFonts w:eastAsia="Times New Roman" w:cstheme="majorHAnsi"/>
                <w:noProof/>
                <w:color w:val="000000"/>
                <w:sz w:val="24"/>
                <w:szCs w:val="24"/>
                <w:lang w:eastAsia="en-GB"/>
              </w:rPr>
              <mc:AlternateContent>
                <mc:Choice Requires="wps">
                  <w:drawing>
                    <wp:anchor distT="0" distB="0" distL="114300" distR="114300" simplePos="0" relativeHeight="251658242" behindDoc="0" locked="0" layoutInCell="1" allowOverlap="1" wp14:anchorId="6ED0EDE6" wp14:editId="31C6CDB4">
                      <wp:simplePos x="0" y="0"/>
                      <wp:positionH relativeFrom="column">
                        <wp:posOffset>140970</wp:posOffset>
                      </wp:positionH>
                      <wp:positionV relativeFrom="paragraph">
                        <wp:posOffset>-185420</wp:posOffset>
                      </wp:positionV>
                      <wp:extent cx="207010" cy="207010"/>
                      <wp:effectExtent l="19050" t="19050" r="40640" b="21590"/>
                      <wp:wrapNone/>
                      <wp:docPr id="4" name="Arrow: Up 4"/>
                      <wp:cNvGraphicFramePr/>
                      <a:graphic xmlns:a="http://schemas.openxmlformats.org/drawingml/2006/main">
                        <a:graphicData uri="http://schemas.microsoft.com/office/word/2010/wordprocessingShape">
                          <wps:wsp>
                            <wps:cNvSpPr/>
                            <wps:spPr>
                              <a:xfrm>
                                <a:off x="0" y="0"/>
                                <a:ext cx="207010" cy="207010"/>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43CF49A">
                    <v:shapetype id="_x0000_t68" coordsize="21600,21600" o:spt="68" adj="5400,5400" path="m0@0l@1@0@1,21600@2,21600@2@0,21600@0,10800,xe" w14:anchorId="4EE066D9">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4" style="position:absolute;margin-left:11.1pt;margin-top:-14.6pt;width:16.3pt;height:1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1f3763 [160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"/>
                  </w:pict>
                </mc:Fallback>
              </mc:AlternateContent>
            </w:r>
            <w:r w:rsidRPr="00580BD2">
              <w:rPr>
                <w:rFonts w:eastAsia="Times New Roman" w:cstheme="majorHAnsi"/>
                <w:color w:val="000000"/>
                <w:sz w:val="24"/>
                <w:szCs w:val="24"/>
                <w:lang w:eastAsia="en-GB"/>
              </w:rPr>
              <w:t> </w:t>
            </w:r>
          </w:p>
        </w:tc>
      </w:tr>
      <w:tr w:rsidR="00817CEC" w:rsidRPr="00580BD2" w14:paraId="39C6D6D9" w14:textId="77777777" w:rsidTr="006430AB">
        <w:trPr>
          <w:trHeight w:val="765"/>
        </w:trPr>
        <w:tc>
          <w:tcPr>
            <w:tcW w:w="3534" w:type="dxa"/>
            <w:tcBorders>
              <w:top w:val="single" w:sz="4" w:space="0" w:color="808080"/>
              <w:left w:val="single" w:sz="8" w:space="0" w:color="auto"/>
              <w:bottom w:val="single" w:sz="4" w:space="0" w:color="808080"/>
              <w:right w:val="single" w:sz="4" w:space="0" w:color="808080"/>
            </w:tcBorders>
            <w:shd w:val="clear" w:color="auto" w:fill="auto"/>
            <w:vAlign w:val="center"/>
            <w:hideMark/>
          </w:tcPr>
          <w:p w14:paraId="75245214"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color w:val="000000"/>
                <w:sz w:val="24"/>
                <w:szCs w:val="24"/>
                <w:lang w:eastAsia="en-GB"/>
              </w:rPr>
              <w:t xml:space="preserve">% of children with free school meal status achieving a </w:t>
            </w:r>
            <w:r w:rsidRPr="00580BD2">
              <w:rPr>
                <w:rFonts w:eastAsia="Times New Roman" w:cstheme="majorHAnsi"/>
                <w:b/>
                <w:bCs/>
                <w:color w:val="000000"/>
                <w:sz w:val="24"/>
                <w:szCs w:val="24"/>
                <w:lang w:eastAsia="en-GB"/>
              </w:rPr>
              <w:t>good level</w:t>
            </w:r>
            <w:r w:rsidRPr="00580BD2">
              <w:rPr>
                <w:rFonts w:eastAsia="Times New Roman" w:cstheme="majorHAnsi"/>
                <w:color w:val="000000"/>
                <w:sz w:val="24"/>
                <w:szCs w:val="24"/>
                <w:lang w:eastAsia="en-GB"/>
              </w:rPr>
              <w:t xml:space="preserve"> of development at the end of reception</w:t>
            </w:r>
          </w:p>
        </w:tc>
        <w:tc>
          <w:tcPr>
            <w:tcW w:w="672" w:type="dxa"/>
            <w:tcBorders>
              <w:top w:val="single" w:sz="4" w:space="0" w:color="808080"/>
              <w:left w:val="nil"/>
              <w:bottom w:val="single" w:sz="4" w:space="0" w:color="808080"/>
              <w:right w:val="single" w:sz="4" w:space="0" w:color="808080"/>
            </w:tcBorders>
            <w:shd w:val="clear" w:color="auto" w:fill="auto"/>
            <w:noWrap/>
            <w:vAlign w:val="center"/>
            <w:hideMark/>
          </w:tcPr>
          <w:p w14:paraId="0D6DBADC"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color w:val="000000"/>
                <w:sz w:val="24"/>
                <w:szCs w:val="24"/>
                <w:lang w:eastAsia="en-GB"/>
              </w:rPr>
              <w:t>5 yrs</w:t>
            </w:r>
          </w:p>
        </w:tc>
        <w:tc>
          <w:tcPr>
            <w:tcW w:w="1039" w:type="dxa"/>
            <w:tcBorders>
              <w:top w:val="single" w:sz="4" w:space="0" w:color="808080"/>
              <w:left w:val="nil"/>
              <w:bottom w:val="single" w:sz="4" w:space="0" w:color="808080"/>
              <w:right w:val="single" w:sz="4" w:space="0" w:color="808080"/>
            </w:tcBorders>
            <w:shd w:val="clear" w:color="auto" w:fill="auto"/>
            <w:noWrap/>
            <w:vAlign w:val="center"/>
            <w:hideMark/>
          </w:tcPr>
          <w:p w14:paraId="45A64B7C"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color w:val="000000"/>
                <w:sz w:val="24"/>
                <w:szCs w:val="24"/>
                <w:lang w:eastAsia="en-GB"/>
              </w:rPr>
              <w:t>201</w:t>
            </w:r>
            <w:r>
              <w:rPr>
                <w:rFonts w:eastAsia="Times New Roman" w:cstheme="majorHAnsi"/>
                <w:color w:val="000000"/>
                <w:sz w:val="24"/>
                <w:szCs w:val="24"/>
                <w:lang w:eastAsia="en-GB"/>
              </w:rPr>
              <w:t>8/19</w:t>
            </w:r>
          </w:p>
        </w:tc>
        <w:tc>
          <w:tcPr>
            <w:tcW w:w="1124" w:type="dxa"/>
            <w:tcBorders>
              <w:top w:val="single" w:sz="4" w:space="0" w:color="808080"/>
              <w:left w:val="nil"/>
              <w:bottom w:val="single" w:sz="4" w:space="0" w:color="808080"/>
              <w:right w:val="single" w:sz="4" w:space="0" w:color="808080"/>
            </w:tcBorders>
            <w:shd w:val="clear" w:color="auto" w:fill="auto"/>
            <w:noWrap/>
            <w:vAlign w:val="center"/>
            <w:hideMark/>
          </w:tcPr>
          <w:p w14:paraId="17AAAB6B"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Pr>
                <w:rFonts w:eastAsia="Times New Roman" w:cstheme="majorHAnsi"/>
                <w:color w:val="000000"/>
                <w:sz w:val="24"/>
                <w:szCs w:val="24"/>
                <w:lang w:eastAsia="en-GB"/>
              </w:rPr>
              <w:t>57.7</w:t>
            </w:r>
          </w:p>
        </w:tc>
        <w:tc>
          <w:tcPr>
            <w:tcW w:w="1276" w:type="dxa"/>
            <w:tcBorders>
              <w:top w:val="single" w:sz="4" w:space="0" w:color="808080"/>
              <w:left w:val="nil"/>
              <w:bottom w:val="single" w:sz="4" w:space="0" w:color="808080"/>
              <w:right w:val="single" w:sz="4" w:space="0" w:color="808080"/>
            </w:tcBorders>
            <w:shd w:val="clear" w:color="auto" w:fill="FFFF66"/>
            <w:noWrap/>
            <w:vAlign w:val="center"/>
            <w:hideMark/>
          </w:tcPr>
          <w:p w14:paraId="097ED368" w14:textId="77777777" w:rsidR="00817CEC" w:rsidRPr="00580BD2" w:rsidRDefault="00817CEC" w:rsidP="00817CEC">
            <w:pPr>
              <w:spacing w:after="0" w:line="240" w:lineRule="auto"/>
              <w:jc w:val="center"/>
              <w:rPr>
                <w:rFonts w:eastAsia="Times New Roman" w:cstheme="majorHAnsi"/>
                <w:color w:val="9C5700"/>
                <w:sz w:val="24"/>
                <w:szCs w:val="24"/>
                <w:lang w:eastAsia="en-GB"/>
              </w:rPr>
            </w:pPr>
            <w:r w:rsidRPr="00580BD2">
              <w:rPr>
                <w:rFonts w:eastAsia="Times New Roman" w:cstheme="majorHAnsi"/>
                <w:color w:val="9C5700"/>
                <w:sz w:val="24"/>
                <w:szCs w:val="24"/>
                <w:lang w:eastAsia="en-GB"/>
              </w:rPr>
              <w:t>Similar</w:t>
            </w:r>
          </w:p>
        </w:tc>
        <w:tc>
          <w:tcPr>
            <w:tcW w:w="1276"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618104B6" w14:textId="77777777" w:rsidR="00817CEC" w:rsidRPr="00CD59A9" w:rsidRDefault="00817CEC" w:rsidP="00817CEC">
            <w:pPr>
              <w:spacing w:after="0" w:line="240" w:lineRule="auto"/>
              <w:jc w:val="center"/>
              <w:rPr>
                <w:rFonts w:eastAsia="Times New Roman" w:cstheme="majorHAnsi"/>
                <w:color w:val="000000" w:themeColor="text1"/>
                <w:sz w:val="24"/>
                <w:szCs w:val="24"/>
                <w:lang w:eastAsia="en-GB"/>
              </w:rPr>
            </w:pPr>
            <w:r>
              <w:rPr>
                <w:rFonts w:eastAsia="Times New Roman" w:cstheme="majorHAnsi"/>
                <w:color w:val="000000" w:themeColor="text1"/>
                <w:sz w:val="24"/>
                <w:szCs w:val="24"/>
                <w:lang w:eastAsia="en-GB"/>
              </w:rPr>
              <w:t>No data Available</w:t>
            </w:r>
          </w:p>
        </w:tc>
        <w:tc>
          <w:tcPr>
            <w:tcW w:w="992" w:type="dxa"/>
            <w:tcBorders>
              <w:top w:val="single" w:sz="4" w:space="0" w:color="808080"/>
              <w:left w:val="nil"/>
              <w:bottom w:val="single" w:sz="4" w:space="0" w:color="808080"/>
              <w:right w:val="single" w:sz="8" w:space="0" w:color="auto"/>
            </w:tcBorders>
            <w:shd w:val="clear" w:color="auto" w:fill="auto"/>
            <w:noWrap/>
            <w:vAlign w:val="center"/>
            <w:hideMark/>
          </w:tcPr>
          <w:p w14:paraId="2D9EA258"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noProof/>
                <w:color w:val="000000"/>
                <w:sz w:val="24"/>
                <w:szCs w:val="24"/>
                <w:lang w:eastAsia="en-GB"/>
              </w:rPr>
              <mc:AlternateContent>
                <mc:Choice Requires="wps">
                  <w:drawing>
                    <wp:anchor distT="0" distB="0" distL="114300" distR="114300" simplePos="0" relativeHeight="251658244" behindDoc="0" locked="0" layoutInCell="1" allowOverlap="1" wp14:anchorId="193249F4" wp14:editId="32CE2EB6">
                      <wp:simplePos x="0" y="0"/>
                      <wp:positionH relativeFrom="column">
                        <wp:posOffset>162560</wp:posOffset>
                      </wp:positionH>
                      <wp:positionV relativeFrom="paragraph">
                        <wp:posOffset>-38735</wp:posOffset>
                      </wp:positionV>
                      <wp:extent cx="207010" cy="207010"/>
                      <wp:effectExtent l="19050" t="19050" r="40640" b="21590"/>
                      <wp:wrapNone/>
                      <wp:docPr id="5" name="Arrow: Up 5"/>
                      <wp:cNvGraphicFramePr/>
                      <a:graphic xmlns:a="http://schemas.openxmlformats.org/drawingml/2006/main">
                        <a:graphicData uri="http://schemas.microsoft.com/office/word/2010/wordprocessingShape">
                          <wps:wsp>
                            <wps:cNvSpPr/>
                            <wps:spPr>
                              <a:xfrm>
                                <a:off x="0" y="0"/>
                                <a:ext cx="207010" cy="207010"/>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16AF293">
                    <v:shape id="Arrow: Up 5" style="position:absolute;margin-left:12.8pt;margin-top:-3.05pt;width:16.3pt;height:1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1f3763 [160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" w14:anchorId="006708D5"/>
                  </w:pict>
                </mc:Fallback>
              </mc:AlternateContent>
            </w:r>
            <w:r w:rsidRPr="00580BD2">
              <w:rPr>
                <w:rFonts w:eastAsia="Times New Roman" w:cstheme="majorHAnsi"/>
                <w:color w:val="000000"/>
                <w:sz w:val="24"/>
                <w:szCs w:val="24"/>
                <w:lang w:eastAsia="en-GB"/>
              </w:rPr>
              <w:t>-</w:t>
            </w:r>
          </w:p>
        </w:tc>
      </w:tr>
      <w:tr w:rsidR="00817CEC" w:rsidRPr="00580BD2" w14:paraId="61866695" w14:textId="77777777" w:rsidTr="006430AB">
        <w:trPr>
          <w:trHeight w:val="60"/>
        </w:trPr>
        <w:tc>
          <w:tcPr>
            <w:tcW w:w="3534" w:type="dxa"/>
            <w:tcBorders>
              <w:top w:val="single" w:sz="4" w:space="0" w:color="808080"/>
              <w:left w:val="single" w:sz="8" w:space="0" w:color="auto"/>
              <w:bottom w:val="single" w:sz="8" w:space="0" w:color="808080"/>
              <w:right w:val="single" w:sz="4" w:space="0" w:color="808080"/>
            </w:tcBorders>
            <w:shd w:val="clear" w:color="auto" w:fill="auto"/>
            <w:vAlign w:val="center"/>
          </w:tcPr>
          <w:p w14:paraId="1C2D043F" w14:textId="77777777" w:rsidR="00817CEC" w:rsidRPr="007E5580" w:rsidRDefault="00817CEC" w:rsidP="00817CEC">
            <w:pPr>
              <w:spacing w:after="0" w:line="240" w:lineRule="auto"/>
              <w:jc w:val="center"/>
              <w:rPr>
                <w:rFonts w:ascii="Calibri" w:eastAsia="Times New Roman" w:hAnsi="Calibri" w:cs="Calibri"/>
                <w:color w:val="000000"/>
                <w:sz w:val="24"/>
                <w:szCs w:val="24"/>
                <w:lang w:eastAsia="en-GB"/>
              </w:rPr>
            </w:pPr>
            <w:r w:rsidRPr="007E5580">
              <w:rPr>
                <w:rFonts w:ascii="Calibri" w:eastAsia="Times New Roman" w:hAnsi="Calibri" w:cs="Calibri"/>
                <w:color w:val="000000"/>
                <w:sz w:val="24"/>
                <w:szCs w:val="24"/>
                <w:lang w:eastAsia="en-GB"/>
              </w:rPr>
              <w:t>% of children achieving</w:t>
            </w:r>
            <w:r w:rsidRPr="007E5580">
              <w:rPr>
                <w:rFonts w:ascii="Calibri" w:eastAsia="Times New Roman" w:hAnsi="Calibri" w:cs="Calibri"/>
                <w:b/>
                <w:bCs/>
                <w:color w:val="000000"/>
                <w:sz w:val="24"/>
                <w:szCs w:val="24"/>
                <w:lang w:eastAsia="en-GB"/>
              </w:rPr>
              <w:t xml:space="preserve"> </w:t>
            </w:r>
            <w:r w:rsidRPr="007E5580">
              <w:rPr>
                <w:rFonts w:ascii="Calibri" w:eastAsia="Times New Roman" w:hAnsi="Calibri" w:cs="Calibri"/>
                <w:color w:val="000000"/>
                <w:sz w:val="24"/>
                <w:szCs w:val="24"/>
                <w:lang w:eastAsia="en-GB"/>
              </w:rPr>
              <w:t>at least an</w:t>
            </w:r>
            <w:r w:rsidRPr="007E5580">
              <w:rPr>
                <w:rFonts w:ascii="Calibri" w:eastAsia="Times New Roman" w:hAnsi="Calibri" w:cs="Calibri"/>
                <w:b/>
                <w:bCs/>
                <w:color w:val="000000"/>
                <w:sz w:val="24"/>
                <w:szCs w:val="24"/>
                <w:lang w:eastAsia="en-GB"/>
              </w:rPr>
              <w:t xml:space="preserve"> expected level</w:t>
            </w:r>
            <w:r w:rsidRPr="007E5580">
              <w:rPr>
                <w:rFonts w:ascii="Calibri" w:eastAsia="Times New Roman" w:hAnsi="Calibri" w:cs="Calibri"/>
                <w:color w:val="000000"/>
                <w:sz w:val="24"/>
                <w:szCs w:val="24"/>
                <w:lang w:eastAsia="en-GB"/>
              </w:rPr>
              <w:t xml:space="preserve"> of development across all learning goals in communication and language</w:t>
            </w:r>
          </w:p>
        </w:tc>
        <w:tc>
          <w:tcPr>
            <w:tcW w:w="672" w:type="dxa"/>
            <w:tcBorders>
              <w:top w:val="single" w:sz="4" w:space="0" w:color="808080"/>
              <w:left w:val="nil"/>
              <w:bottom w:val="single" w:sz="8" w:space="0" w:color="808080"/>
              <w:right w:val="single" w:sz="4" w:space="0" w:color="808080"/>
            </w:tcBorders>
            <w:shd w:val="clear" w:color="auto" w:fill="auto"/>
            <w:noWrap/>
            <w:vAlign w:val="center"/>
          </w:tcPr>
          <w:p w14:paraId="0608AE52" w14:textId="77777777" w:rsidR="00817CEC" w:rsidRPr="007E5580" w:rsidRDefault="00817CEC" w:rsidP="00817CEC">
            <w:pPr>
              <w:spacing w:after="0" w:line="240" w:lineRule="auto"/>
              <w:jc w:val="center"/>
              <w:rPr>
                <w:rFonts w:ascii="Calibri" w:eastAsia="Times New Roman" w:hAnsi="Calibri" w:cs="Calibri"/>
                <w:color w:val="000000"/>
                <w:sz w:val="24"/>
                <w:szCs w:val="24"/>
                <w:lang w:eastAsia="en-GB"/>
              </w:rPr>
            </w:pPr>
            <w:r w:rsidRPr="007E5580">
              <w:rPr>
                <w:rFonts w:ascii="Calibri" w:eastAsia="Times New Roman" w:hAnsi="Calibri" w:cs="Calibri"/>
                <w:color w:val="000000"/>
                <w:sz w:val="24"/>
                <w:szCs w:val="24"/>
                <w:lang w:eastAsia="en-GB"/>
              </w:rPr>
              <w:t>5 yrs</w:t>
            </w:r>
          </w:p>
        </w:tc>
        <w:tc>
          <w:tcPr>
            <w:tcW w:w="1039" w:type="dxa"/>
            <w:tcBorders>
              <w:top w:val="single" w:sz="4" w:space="0" w:color="808080"/>
              <w:left w:val="nil"/>
              <w:bottom w:val="single" w:sz="8" w:space="0" w:color="808080"/>
              <w:right w:val="single" w:sz="4" w:space="0" w:color="808080"/>
            </w:tcBorders>
            <w:shd w:val="clear" w:color="auto" w:fill="auto"/>
            <w:noWrap/>
            <w:vAlign w:val="center"/>
          </w:tcPr>
          <w:p w14:paraId="16143391" w14:textId="77777777" w:rsidR="00817CEC" w:rsidRPr="007E5580" w:rsidRDefault="00817CEC" w:rsidP="00817CEC">
            <w:pPr>
              <w:spacing w:after="0" w:line="240" w:lineRule="auto"/>
              <w:jc w:val="center"/>
              <w:rPr>
                <w:rFonts w:ascii="Calibri" w:eastAsia="Times New Roman" w:hAnsi="Calibri" w:cs="Calibri"/>
                <w:color w:val="000000"/>
                <w:sz w:val="24"/>
                <w:szCs w:val="24"/>
                <w:lang w:eastAsia="en-GB"/>
              </w:rPr>
            </w:pPr>
            <w:r w:rsidRPr="00580BD2">
              <w:rPr>
                <w:rFonts w:eastAsia="Times New Roman" w:cstheme="majorHAnsi"/>
                <w:color w:val="000000"/>
                <w:sz w:val="24"/>
                <w:szCs w:val="24"/>
                <w:lang w:eastAsia="en-GB"/>
              </w:rPr>
              <w:t>201</w:t>
            </w:r>
            <w:r>
              <w:rPr>
                <w:rFonts w:eastAsia="Times New Roman" w:cstheme="majorHAnsi"/>
                <w:color w:val="000000"/>
                <w:sz w:val="24"/>
                <w:szCs w:val="24"/>
                <w:lang w:eastAsia="en-GB"/>
              </w:rPr>
              <w:t>8/19</w:t>
            </w:r>
          </w:p>
        </w:tc>
        <w:tc>
          <w:tcPr>
            <w:tcW w:w="1124" w:type="dxa"/>
            <w:tcBorders>
              <w:top w:val="single" w:sz="4" w:space="0" w:color="808080"/>
              <w:left w:val="nil"/>
              <w:bottom w:val="single" w:sz="8" w:space="0" w:color="808080"/>
              <w:right w:val="single" w:sz="4" w:space="0" w:color="808080"/>
            </w:tcBorders>
            <w:shd w:val="clear" w:color="auto" w:fill="auto"/>
            <w:noWrap/>
            <w:vAlign w:val="center"/>
          </w:tcPr>
          <w:p w14:paraId="200B08DC" w14:textId="77777777" w:rsidR="00817CEC" w:rsidRPr="007E5580" w:rsidRDefault="00817CEC" w:rsidP="00817CEC">
            <w:pPr>
              <w:spacing w:after="0" w:line="240" w:lineRule="auto"/>
              <w:jc w:val="center"/>
              <w:rPr>
                <w:rFonts w:ascii="Calibri" w:eastAsia="Times New Roman" w:hAnsi="Calibri" w:cs="Calibri"/>
                <w:color w:val="000000"/>
                <w:sz w:val="24"/>
                <w:szCs w:val="24"/>
                <w:lang w:eastAsia="en-GB"/>
              </w:rPr>
            </w:pPr>
            <w:r w:rsidRPr="007E5580">
              <w:rPr>
                <w:rFonts w:ascii="Calibri" w:eastAsia="Times New Roman" w:hAnsi="Calibri" w:cs="Calibri"/>
                <w:color w:val="000000"/>
                <w:sz w:val="24"/>
                <w:szCs w:val="24"/>
                <w:lang w:eastAsia="en-GB"/>
              </w:rPr>
              <w:t>77.9</w:t>
            </w:r>
          </w:p>
        </w:tc>
        <w:tc>
          <w:tcPr>
            <w:tcW w:w="1276" w:type="dxa"/>
            <w:tcBorders>
              <w:top w:val="single" w:sz="4" w:space="0" w:color="808080"/>
              <w:left w:val="nil"/>
              <w:bottom w:val="single" w:sz="8" w:space="0" w:color="808080"/>
              <w:right w:val="single" w:sz="4" w:space="0" w:color="808080"/>
            </w:tcBorders>
            <w:shd w:val="clear" w:color="000000" w:fill="FFC7CE"/>
            <w:noWrap/>
            <w:vAlign w:val="center"/>
          </w:tcPr>
          <w:p w14:paraId="625FA8D3" w14:textId="77777777" w:rsidR="00817CEC" w:rsidRPr="007E5580" w:rsidRDefault="00817CEC" w:rsidP="00817CEC">
            <w:pPr>
              <w:spacing w:after="0" w:line="240" w:lineRule="auto"/>
              <w:jc w:val="center"/>
              <w:rPr>
                <w:rFonts w:ascii="Calibri" w:eastAsia="Times New Roman" w:hAnsi="Calibri" w:cs="Calibri"/>
                <w:color w:val="9C0006"/>
                <w:sz w:val="24"/>
                <w:szCs w:val="24"/>
                <w:lang w:eastAsia="en-GB"/>
              </w:rPr>
            </w:pPr>
            <w:r w:rsidRPr="007E5580">
              <w:rPr>
                <w:rFonts w:ascii="Calibri" w:eastAsia="Times New Roman" w:hAnsi="Calibri" w:cs="Calibri"/>
                <w:color w:val="9C0006"/>
                <w:sz w:val="24"/>
                <w:szCs w:val="24"/>
                <w:lang w:eastAsia="en-GB"/>
              </w:rPr>
              <w:t>Worse</w:t>
            </w:r>
          </w:p>
        </w:tc>
        <w:tc>
          <w:tcPr>
            <w:tcW w:w="1276" w:type="dxa"/>
            <w:tcBorders>
              <w:top w:val="single" w:sz="4" w:space="0" w:color="808080"/>
              <w:left w:val="nil"/>
              <w:bottom w:val="single" w:sz="8" w:space="0" w:color="808080"/>
              <w:right w:val="single" w:sz="4" w:space="0" w:color="808080"/>
            </w:tcBorders>
            <w:shd w:val="clear" w:color="000000" w:fill="FFC7CE"/>
            <w:noWrap/>
            <w:vAlign w:val="center"/>
          </w:tcPr>
          <w:p w14:paraId="0ADC9CBE" w14:textId="77777777" w:rsidR="00817CEC" w:rsidRPr="007E5580" w:rsidRDefault="00817CEC" w:rsidP="00817CEC">
            <w:pPr>
              <w:spacing w:after="0" w:line="240" w:lineRule="auto"/>
              <w:jc w:val="center"/>
              <w:rPr>
                <w:rFonts w:ascii="Calibri" w:eastAsia="Times New Roman" w:hAnsi="Calibri" w:cs="Calibri"/>
                <w:color w:val="9C0006"/>
                <w:sz w:val="24"/>
                <w:szCs w:val="24"/>
                <w:lang w:eastAsia="en-GB"/>
              </w:rPr>
            </w:pPr>
            <w:r w:rsidRPr="007E5580">
              <w:rPr>
                <w:rFonts w:ascii="Calibri" w:eastAsia="Times New Roman" w:hAnsi="Calibri" w:cs="Calibri"/>
                <w:color w:val="9C0006"/>
                <w:sz w:val="24"/>
                <w:szCs w:val="24"/>
                <w:lang w:eastAsia="en-GB"/>
              </w:rPr>
              <w:t>Worse</w:t>
            </w:r>
          </w:p>
        </w:tc>
        <w:tc>
          <w:tcPr>
            <w:tcW w:w="992" w:type="dxa"/>
            <w:tcBorders>
              <w:top w:val="single" w:sz="4" w:space="0" w:color="808080"/>
              <w:left w:val="nil"/>
              <w:bottom w:val="single" w:sz="8" w:space="0" w:color="808080"/>
              <w:right w:val="single" w:sz="8" w:space="0" w:color="auto"/>
            </w:tcBorders>
            <w:shd w:val="clear" w:color="auto" w:fill="auto"/>
            <w:noWrap/>
            <w:vAlign w:val="bottom"/>
          </w:tcPr>
          <w:p w14:paraId="4C75E2B0" w14:textId="77777777" w:rsidR="00817CEC" w:rsidRPr="00580BD2" w:rsidRDefault="00817CEC" w:rsidP="00817CEC">
            <w:pPr>
              <w:spacing w:after="0" w:line="240" w:lineRule="auto"/>
              <w:jc w:val="center"/>
              <w:rPr>
                <w:rFonts w:eastAsia="Times New Roman" w:cs="Calibri"/>
                <w:noProof/>
                <w:color w:val="000000"/>
                <w:sz w:val="24"/>
                <w:szCs w:val="24"/>
                <w:lang w:eastAsia="en-GB"/>
              </w:rPr>
            </w:pPr>
            <w:r>
              <w:rPr>
                <w:rFonts w:ascii="Calibri" w:eastAsia="Times New Roman" w:hAnsi="Calibri" w:cs="Calibri"/>
                <w:noProof/>
                <w:color w:val="000000"/>
                <w:sz w:val="22"/>
                <w:szCs w:val="22"/>
                <w:lang w:eastAsia="en-GB"/>
              </w:rPr>
              <mc:AlternateContent>
                <mc:Choice Requires="wps">
                  <w:drawing>
                    <wp:anchor distT="0" distB="0" distL="114300" distR="114300" simplePos="0" relativeHeight="251658245" behindDoc="0" locked="0" layoutInCell="1" allowOverlap="1" wp14:anchorId="2CAE6737" wp14:editId="2AE2B810">
                      <wp:simplePos x="0" y="0"/>
                      <wp:positionH relativeFrom="column">
                        <wp:posOffset>88900</wp:posOffset>
                      </wp:positionH>
                      <wp:positionV relativeFrom="paragraph">
                        <wp:posOffset>-365760</wp:posOffset>
                      </wp:positionV>
                      <wp:extent cx="322580" cy="156210"/>
                      <wp:effectExtent l="19050" t="19050" r="20320" b="34290"/>
                      <wp:wrapNone/>
                      <wp:docPr id="7" name="Arrow: Left-Right 7"/>
                      <wp:cNvGraphicFramePr/>
                      <a:graphic xmlns:a="http://schemas.openxmlformats.org/drawingml/2006/main">
                        <a:graphicData uri="http://schemas.microsoft.com/office/word/2010/wordprocessingShape">
                          <wps:wsp>
                            <wps:cNvSpPr/>
                            <wps:spPr>
                              <a:xfrm>
                                <a:off x="0" y="0"/>
                                <a:ext cx="322580" cy="156210"/>
                              </a:xfrm>
                              <a:prstGeom prst="leftRightArrow">
                                <a:avLst/>
                              </a:prstGeom>
                              <a:solidFill>
                                <a:srgbClr val="EF8B47"/>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9675129">
                    <v:shapetype id="_x0000_t69" coordsize="21600,21600" o:spt="69" adj="4320,5400" path="m,10800l@0,21600@0@3@2@3@2,21600,21600,10800@2,0@2@1@0@1@0,xe" w14:anchorId="5A623451">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Arrow: Left-Right 7" style="position:absolute;margin-left:7pt;margin-top:-28.8pt;width:25.4pt;height:1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f8b47" strokecolor="#2f528f" strokeweight="1pt" type="#_x0000_t69" adj="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"/>
                  </w:pict>
                </mc:Fallback>
              </mc:AlternateContent>
            </w:r>
            <w:r w:rsidRPr="00647E67">
              <w:rPr>
                <w:rFonts w:ascii="Calibri" w:eastAsia="Times New Roman" w:hAnsi="Calibri" w:cs="Calibri"/>
                <w:color w:val="000000"/>
                <w:sz w:val="22"/>
                <w:szCs w:val="22"/>
                <w:lang w:eastAsia="en-GB"/>
              </w:rPr>
              <w:t> </w:t>
            </w:r>
          </w:p>
        </w:tc>
      </w:tr>
      <w:tr w:rsidR="00817CEC" w:rsidRPr="00580BD2" w14:paraId="3679ABD5" w14:textId="77777777" w:rsidTr="006430AB">
        <w:trPr>
          <w:trHeight w:val="60"/>
        </w:trPr>
        <w:tc>
          <w:tcPr>
            <w:tcW w:w="3534" w:type="dxa"/>
            <w:tcBorders>
              <w:top w:val="single" w:sz="4" w:space="0" w:color="808080"/>
              <w:left w:val="single" w:sz="8" w:space="0" w:color="auto"/>
              <w:bottom w:val="single" w:sz="8" w:space="0" w:color="808080"/>
              <w:right w:val="single" w:sz="4" w:space="0" w:color="808080"/>
            </w:tcBorders>
            <w:shd w:val="clear" w:color="auto" w:fill="auto"/>
            <w:vAlign w:val="center"/>
          </w:tcPr>
          <w:p w14:paraId="7C1A4A80"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Pr>
                <w:rFonts w:eastAsia="Times New Roman" w:cs="Calibri Light"/>
                <w:color w:val="000000"/>
                <w:sz w:val="24"/>
                <w:szCs w:val="24"/>
                <w:lang w:eastAsia="en-GB"/>
              </w:rPr>
              <w:t>%</w:t>
            </w:r>
            <w:r w:rsidRPr="00580BD2">
              <w:rPr>
                <w:rFonts w:eastAsia="Times New Roman" w:cs="Calibri Light"/>
                <w:color w:val="000000"/>
                <w:sz w:val="24"/>
                <w:szCs w:val="24"/>
                <w:lang w:eastAsia="en-GB"/>
              </w:rPr>
              <w:t xml:space="preserve"> of children </w:t>
            </w:r>
            <w:r>
              <w:rPr>
                <w:rFonts w:eastAsia="Times New Roman" w:cs="Calibri Light"/>
                <w:color w:val="000000"/>
                <w:sz w:val="24"/>
                <w:szCs w:val="24"/>
                <w:lang w:eastAsia="en-GB"/>
              </w:rPr>
              <w:t xml:space="preserve">with free school meal status </w:t>
            </w:r>
            <w:r w:rsidRPr="00580BD2">
              <w:rPr>
                <w:rFonts w:eastAsia="Times New Roman" w:cs="Calibri Light"/>
                <w:color w:val="000000"/>
                <w:sz w:val="24"/>
                <w:szCs w:val="24"/>
                <w:lang w:eastAsia="en-GB"/>
              </w:rPr>
              <w:t>achieving at least an</w:t>
            </w:r>
            <w:r w:rsidRPr="00580BD2">
              <w:rPr>
                <w:rFonts w:eastAsia="Times New Roman" w:cs="Calibri Light"/>
                <w:b/>
                <w:bCs/>
                <w:color w:val="000000"/>
                <w:sz w:val="24"/>
                <w:szCs w:val="24"/>
                <w:lang w:eastAsia="en-GB"/>
              </w:rPr>
              <w:t xml:space="preserve"> expected level</w:t>
            </w:r>
            <w:r w:rsidRPr="00580BD2">
              <w:rPr>
                <w:rFonts w:eastAsia="Times New Roman" w:cs="Calibri Light"/>
                <w:color w:val="000000"/>
                <w:sz w:val="24"/>
                <w:szCs w:val="24"/>
                <w:lang w:eastAsia="en-GB"/>
              </w:rPr>
              <w:t xml:space="preserve"> of development across all learning goals in </w:t>
            </w:r>
            <w:r>
              <w:rPr>
                <w:rFonts w:eastAsia="Times New Roman" w:cs="Calibri Light"/>
                <w:b/>
                <w:color w:val="000000"/>
                <w:sz w:val="24"/>
                <w:szCs w:val="24"/>
                <w:lang w:eastAsia="en-GB"/>
              </w:rPr>
              <w:t>communication and language</w:t>
            </w:r>
          </w:p>
        </w:tc>
        <w:tc>
          <w:tcPr>
            <w:tcW w:w="672" w:type="dxa"/>
            <w:tcBorders>
              <w:top w:val="single" w:sz="4" w:space="0" w:color="808080"/>
              <w:left w:val="nil"/>
              <w:bottom w:val="single" w:sz="8" w:space="0" w:color="808080"/>
              <w:right w:val="single" w:sz="4" w:space="0" w:color="808080"/>
            </w:tcBorders>
            <w:shd w:val="clear" w:color="auto" w:fill="auto"/>
            <w:noWrap/>
            <w:vAlign w:val="center"/>
          </w:tcPr>
          <w:p w14:paraId="17A911AE"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Calibri Light"/>
                <w:color w:val="000000"/>
                <w:sz w:val="24"/>
                <w:szCs w:val="24"/>
                <w:lang w:eastAsia="en-GB"/>
              </w:rPr>
              <w:t>5 yrs</w:t>
            </w:r>
          </w:p>
        </w:tc>
        <w:tc>
          <w:tcPr>
            <w:tcW w:w="1039" w:type="dxa"/>
            <w:tcBorders>
              <w:top w:val="single" w:sz="4" w:space="0" w:color="808080"/>
              <w:left w:val="nil"/>
              <w:bottom w:val="single" w:sz="8" w:space="0" w:color="808080"/>
              <w:right w:val="single" w:sz="4" w:space="0" w:color="808080"/>
            </w:tcBorders>
            <w:shd w:val="clear" w:color="auto" w:fill="auto"/>
            <w:noWrap/>
            <w:vAlign w:val="center"/>
          </w:tcPr>
          <w:p w14:paraId="4C17F961"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theme="majorHAnsi"/>
                <w:color w:val="000000"/>
                <w:sz w:val="24"/>
                <w:szCs w:val="24"/>
                <w:lang w:eastAsia="en-GB"/>
              </w:rPr>
              <w:t>201</w:t>
            </w:r>
            <w:r>
              <w:rPr>
                <w:rFonts w:eastAsia="Times New Roman" w:cstheme="majorHAnsi"/>
                <w:color w:val="000000"/>
                <w:sz w:val="24"/>
                <w:szCs w:val="24"/>
                <w:lang w:eastAsia="en-GB"/>
              </w:rPr>
              <w:t>8/19</w:t>
            </w:r>
          </w:p>
        </w:tc>
        <w:tc>
          <w:tcPr>
            <w:tcW w:w="1124" w:type="dxa"/>
            <w:tcBorders>
              <w:top w:val="single" w:sz="4" w:space="0" w:color="808080"/>
              <w:left w:val="nil"/>
              <w:bottom w:val="single" w:sz="8" w:space="0" w:color="808080"/>
              <w:right w:val="single" w:sz="4" w:space="0" w:color="808080"/>
            </w:tcBorders>
            <w:shd w:val="clear" w:color="auto" w:fill="auto"/>
            <w:noWrap/>
            <w:vAlign w:val="center"/>
          </w:tcPr>
          <w:p w14:paraId="4EC6EEC8"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Pr>
                <w:rFonts w:eastAsia="Times New Roman" w:cs="Calibri Light"/>
                <w:color w:val="000000"/>
                <w:sz w:val="24"/>
                <w:szCs w:val="24"/>
                <w:lang w:eastAsia="en-GB"/>
              </w:rPr>
              <w:t>72.2</w:t>
            </w:r>
          </w:p>
        </w:tc>
        <w:tc>
          <w:tcPr>
            <w:tcW w:w="1276" w:type="dxa"/>
            <w:tcBorders>
              <w:top w:val="single" w:sz="4" w:space="0" w:color="808080"/>
              <w:left w:val="nil"/>
              <w:bottom w:val="single" w:sz="8" w:space="0" w:color="808080"/>
              <w:right w:val="single" w:sz="4" w:space="0" w:color="808080"/>
            </w:tcBorders>
            <w:shd w:val="clear" w:color="auto" w:fill="FFFF66"/>
            <w:noWrap/>
            <w:vAlign w:val="center"/>
          </w:tcPr>
          <w:p w14:paraId="40C341C1" w14:textId="77777777" w:rsidR="00817CEC" w:rsidRPr="00580BD2" w:rsidRDefault="00817CEC" w:rsidP="00817CEC">
            <w:pPr>
              <w:spacing w:after="0" w:line="240" w:lineRule="auto"/>
              <w:jc w:val="center"/>
              <w:rPr>
                <w:rFonts w:eastAsia="Times New Roman" w:cstheme="majorHAnsi"/>
                <w:color w:val="9C5700"/>
                <w:sz w:val="24"/>
                <w:szCs w:val="24"/>
                <w:lang w:eastAsia="en-GB"/>
              </w:rPr>
            </w:pPr>
            <w:r w:rsidRPr="00580BD2">
              <w:rPr>
                <w:rFonts w:eastAsia="Times New Roman" w:cstheme="majorHAnsi"/>
                <w:color w:val="9C5700"/>
                <w:sz w:val="24"/>
                <w:szCs w:val="24"/>
                <w:lang w:eastAsia="en-GB"/>
              </w:rPr>
              <w:t>Similar</w:t>
            </w:r>
          </w:p>
        </w:tc>
        <w:tc>
          <w:tcPr>
            <w:tcW w:w="1276" w:type="dxa"/>
            <w:tcBorders>
              <w:top w:val="single" w:sz="4" w:space="0" w:color="808080"/>
              <w:left w:val="nil"/>
              <w:bottom w:val="single" w:sz="8" w:space="0" w:color="808080"/>
              <w:right w:val="single" w:sz="4" w:space="0" w:color="808080"/>
            </w:tcBorders>
            <w:shd w:val="clear" w:color="auto" w:fill="FFFF66"/>
            <w:noWrap/>
            <w:vAlign w:val="center"/>
          </w:tcPr>
          <w:p w14:paraId="1DBE4D73" w14:textId="77777777" w:rsidR="00817CEC" w:rsidRPr="00580BD2" w:rsidRDefault="00817CEC" w:rsidP="00817CEC">
            <w:pPr>
              <w:spacing w:after="0" w:line="240" w:lineRule="auto"/>
              <w:jc w:val="center"/>
              <w:rPr>
                <w:rFonts w:eastAsia="Times New Roman" w:cstheme="majorHAnsi"/>
                <w:color w:val="9C5700"/>
                <w:sz w:val="24"/>
                <w:szCs w:val="24"/>
                <w:lang w:eastAsia="en-GB"/>
              </w:rPr>
            </w:pPr>
            <w:r w:rsidRPr="00580BD2">
              <w:rPr>
                <w:rFonts w:eastAsia="Times New Roman" w:cstheme="majorHAnsi"/>
                <w:color w:val="9C5700"/>
                <w:sz w:val="24"/>
                <w:szCs w:val="24"/>
                <w:lang w:eastAsia="en-GB"/>
              </w:rPr>
              <w:t>Similar</w:t>
            </w:r>
          </w:p>
        </w:tc>
        <w:tc>
          <w:tcPr>
            <w:tcW w:w="992" w:type="dxa"/>
            <w:tcBorders>
              <w:top w:val="single" w:sz="4" w:space="0" w:color="808080"/>
              <w:left w:val="nil"/>
              <w:bottom w:val="single" w:sz="8" w:space="0" w:color="808080"/>
              <w:right w:val="single" w:sz="8" w:space="0" w:color="auto"/>
            </w:tcBorders>
            <w:shd w:val="clear" w:color="auto" w:fill="auto"/>
            <w:noWrap/>
            <w:vAlign w:val="bottom"/>
          </w:tcPr>
          <w:p w14:paraId="28AE016E" w14:textId="77777777" w:rsidR="00817CEC" w:rsidRPr="00580BD2" w:rsidRDefault="00817CEC" w:rsidP="00817CEC">
            <w:pPr>
              <w:spacing w:after="0" w:line="240" w:lineRule="auto"/>
              <w:jc w:val="center"/>
              <w:rPr>
                <w:rFonts w:eastAsia="Times New Roman" w:cstheme="majorHAnsi"/>
                <w:color w:val="000000"/>
                <w:sz w:val="24"/>
                <w:szCs w:val="24"/>
                <w:lang w:eastAsia="en-GB"/>
              </w:rPr>
            </w:pPr>
            <w:r w:rsidRPr="00580BD2">
              <w:rPr>
                <w:rFonts w:eastAsia="Times New Roman" w:cs="Calibri"/>
                <w:noProof/>
                <w:color w:val="000000"/>
                <w:sz w:val="24"/>
                <w:szCs w:val="24"/>
                <w:lang w:eastAsia="en-GB"/>
              </w:rPr>
              <mc:AlternateContent>
                <mc:Choice Requires="wps">
                  <w:drawing>
                    <wp:anchor distT="0" distB="0" distL="114300" distR="114300" simplePos="0" relativeHeight="251658243" behindDoc="0" locked="0" layoutInCell="1" allowOverlap="1" wp14:anchorId="43985FB1" wp14:editId="56BBFD47">
                      <wp:simplePos x="0" y="0"/>
                      <wp:positionH relativeFrom="column">
                        <wp:posOffset>166370</wp:posOffset>
                      </wp:positionH>
                      <wp:positionV relativeFrom="paragraph">
                        <wp:posOffset>-487045</wp:posOffset>
                      </wp:positionV>
                      <wp:extent cx="207010" cy="207010"/>
                      <wp:effectExtent l="19050" t="19050" r="40640" b="21590"/>
                      <wp:wrapNone/>
                      <wp:docPr id="11" name="Arrow: Up 11"/>
                      <wp:cNvGraphicFramePr/>
                      <a:graphic xmlns:a="http://schemas.openxmlformats.org/drawingml/2006/main">
                        <a:graphicData uri="http://schemas.microsoft.com/office/word/2010/wordprocessingShape">
                          <wps:wsp>
                            <wps:cNvSpPr/>
                            <wps:spPr>
                              <a:xfrm>
                                <a:off x="0" y="0"/>
                                <a:ext cx="207010" cy="207010"/>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D841B38">
                    <v:shape id="Arrow: Up 11" style="position:absolute;margin-left:13.1pt;margin-top:-38.35pt;width:16.3pt;height:1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1f3763 [160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" w14:anchorId="422FCA09"/>
                  </w:pict>
                </mc:Fallback>
              </mc:AlternateContent>
            </w:r>
            <w:r w:rsidRPr="00580BD2">
              <w:rPr>
                <w:rFonts w:eastAsia="Times New Roman" w:cs="Calibri"/>
                <w:color w:val="000000"/>
                <w:sz w:val="24"/>
                <w:szCs w:val="24"/>
                <w:lang w:eastAsia="en-GB"/>
              </w:rPr>
              <w:t> </w:t>
            </w:r>
          </w:p>
        </w:tc>
      </w:tr>
    </w:tbl>
    <w:p w14:paraId="74C1E02B" w14:textId="77777777" w:rsidR="00817CEC" w:rsidRPr="002F6B2D" w:rsidRDefault="00817CEC" w:rsidP="00817CEC">
      <w:pPr>
        <w:rPr>
          <w:rFonts w:cstheme="majorHAnsi"/>
          <w:sz w:val="24"/>
          <w:szCs w:val="24"/>
        </w:rPr>
      </w:pPr>
      <w:r w:rsidRPr="002F6B2D">
        <w:rPr>
          <w:rFonts w:cstheme="majorHAnsi"/>
          <w:sz w:val="24"/>
          <w:szCs w:val="24"/>
        </w:rPr>
        <w:t>Source: PHE Profiles (2019)</w:t>
      </w:r>
    </w:p>
    <w:p w14:paraId="4CC1D100" w14:textId="77777777" w:rsidR="00817CEC" w:rsidRPr="00580BD2" w:rsidRDefault="00817CEC" w:rsidP="00817CEC">
      <w:pPr>
        <w:pStyle w:val="Default"/>
        <w:rPr>
          <w:rFonts w:asciiTheme="minorHAnsi" w:hAnsiTheme="minorHAnsi"/>
        </w:rPr>
      </w:pPr>
    </w:p>
    <w:p w14:paraId="427BBEBF" w14:textId="77777777" w:rsidR="00817CEC" w:rsidRPr="00F901F8" w:rsidRDefault="00817CEC" w:rsidP="006430AB">
      <w:pPr>
        <w:rPr>
          <w:rFonts w:cstheme="majorHAnsi"/>
          <w:sz w:val="24"/>
          <w:szCs w:val="24"/>
        </w:rPr>
      </w:pPr>
      <w:r w:rsidRPr="00F901F8">
        <w:rPr>
          <w:rFonts w:cstheme="majorHAnsi"/>
          <w:sz w:val="24"/>
          <w:szCs w:val="24"/>
        </w:rPr>
        <w:t>A lower proportion of Sandwell children are school ready compared to than other parts of the West Midlands region and England.  For 201</w:t>
      </w:r>
      <w:r>
        <w:rPr>
          <w:rFonts w:cstheme="majorHAnsi"/>
          <w:sz w:val="24"/>
          <w:szCs w:val="24"/>
        </w:rPr>
        <w:t>8</w:t>
      </w:r>
      <w:r w:rsidRPr="00F901F8">
        <w:rPr>
          <w:rFonts w:cstheme="majorHAnsi"/>
          <w:sz w:val="24"/>
          <w:szCs w:val="24"/>
        </w:rPr>
        <w:t>/1</w:t>
      </w:r>
      <w:r>
        <w:rPr>
          <w:rFonts w:cstheme="majorHAnsi"/>
          <w:sz w:val="24"/>
          <w:szCs w:val="24"/>
        </w:rPr>
        <w:t>9</w:t>
      </w:r>
      <w:r w:rsidRPr="00F901F8">
        <w:rPr>
          <w:rFonts w:cstheme="majorHAnsi"/>
          <w:sz w:val="24"/>
          <w:szCs w:val="24"/>
        </w:rPr>
        <w:t xml:space="preserve"> 66.</w:t>
      </w:r>
      <w:r>
        <w:rPr>
          <w:rFonts w:cstheme="majorHAnsi"/>
          <w:sz w:val="24"/>
          <w:szCs w:val="24"/>
        </w:rPr>
        <w:t>8</w:t>
      </w:r>
      <w:r w:rsidRPr="00F901F8">
        <w:rPr>
          <w:rFonts w:cstheme="majorHAnsi"/>
          <w:sz w:val="24"/>
          <w:szCs w:val="24"/>
        </w:rPr>
        <w:t>% of Sandwell children achieved a good level of development.  This is statistically lower than England (71.</w:t>
      </w:r>
      <w:r>
        <w:rPr>
          <w:rFonts w:cstheme="majorHAnsi"/>
          <w:sz w:val="24"/>
          <w:szCs w:val="24"/>
        </w:rPr>
        <w:t>8</w:t>
      </w:r>
      <w:r w:rsidRPr="00F901F8">
        <w:rPr>
          <w:rFonts w:cstheme="majorHAnsi"/>
          <w:sz w:val="24"/>
          <w:szCs w:val="24"/>
        </w:rPr>
        <w:t>%) and the West Midlands region (</w:t>
      </w:r>
      <w:r>
        <w:rPr>
          <w:rFonts w:cstheme="majorHAnsi"/>
          <w:sz w:val="24"/>
          <w:szCs w:val="24"/>
        </w:rPr>
        <w:t>70.1</w:t>
      </w:r>
      <w:r w:rsidRPr="00F901F8">
        <w:rPr>
          <w:rFonts w:cstheme="majorHAnsi"/>
          <w:sz w:val="24"/>
          <w:szCs w:val="24"/>
        </w:rPr>
        <w:t xml:space="preserve">%). </w:t>
      </w:r>
    </w:p>
    <w:p w14:paraId="205185BF" w14:textId="77777777" w:rsidR="00817CEC" w:rsidRPr="00F901F8" w:rsidRDefault="00817CEC" w:rsidP="006430AB">
      <w:pPr>
        <w:rPr>
          <w:rFonts w:cstheme="majorHAnsi"/>
          <w:sz w:val="24"/>
          <w:szCs w:val="24"/>
        </w:rPr>
      </w:pPr>
      <w:r w:rsidRPr="00F901F8">
        <w:rPr>
          <w:rFonts w:cstheme="majorHAnsi"/>
          <w:sz w:val="24"/>
          <w:szCs w:val="24"/>
        </w:rPr>
        <w:t xml:space="preserve">For the past 5 years, the percentage of children in Sandwell achieving a good level has been increasing, however in comparison to the regional and national figures, the inequality gap is still large.   </w:t>
      </w:r>
    </w:p>
    <w:p w14:paraId="7284BA7D" w14:textId="77777777" w:rsidR="00817CEC" w:rsidRPr="00F901F8" w:rsidRDefault="00817CEC" w:rsidP="006430AB">
      <w:pPr>
        <w:rPr>
          <w:rFonts w:cstheme="majorHAnsi"/>
          <w:sz w:val="24"/>
          <w:szCs w:val="24"/>
          <w:u w:val="single"/>
        </w:rPr>
      </w:pPr>
      <w:r w:rsidRPr="00F901F8">
        <w:rPr>
          <w:rFonts w:cstheme="majorHAnsi"/>
          <w:sz w:val="24"/>
          <w:szCs w:val="24"/>
        </w:rPr>
        <w:t>Ranking the levels of good development across the West Midlands Metropolitan Councils, Sandwell’s rank is the lowest.</w:t>
      </w:r>
    </w:p>
    <w:p w14:paraId="4B504713" w14:textId="77777777" w:rsidR="006430AB" w:rsidRDefault="006430AB" w:rsidP="006430AB">
      <w:pPr>
        <w:pStyle w:val="Default"/>
        <w:rPr>
          <w:rFonts w:asciiTheme="minorHAnsi" w:hAnsiTheme="minorHAnsi" w:cstheme="majorHAnsi"/>
          <w:color w:val="auto"/>
        </w:rPr>
      </w:pPr>
      <w:r>
        <w:rPr>
          <w:rFonts w:asciiTheme="minorHAnsi" w:hAnsiTheme="minorHAnsi" w:cstheme="majorHAnsi"/>
          <w:color w:val="auto"/>
        </w:rPr>
        <w:br/>
      </w:r>
      <w:r w:rsidR="00817CEC" w:rsidRPr="00F901F8">
        <w:rPr>
          <w:rFonts w:asciiTheme="minorHAnsi" w:hAnsiTheme="minorHAnsi" w:cstheme="majorHAnsi"/>
          <w:color w:val="auto"/>
        </w:rPr>
        <w:t>The inequality gap for children who are eligible for free school meals in Sandwell compared to those that have more prosperous socio-economic environments in Sandwell is even larger.  Only 5</w:t>
      </w:r>
      <w:r w:rsidR="00817CEC">
        <w:rPr>
          <w:rFonts w:asciiTheme="minorHAnsi" w:hAnsiTheme="minorHAnsi" w:cstheme="majorHAnsi"/>
          <w:color w:val="auto"/>
        </w:rPr>
        <w:t>7.7</w:t>
      </w:r>
      <w:r w:rsidR="00817CEC" w:rsidRPr="00F901F8">
        <w:rPr>
          <w:rFonts w:asciiTheme="minorHAnsi" w:hAnsiTheme="minorHAnsi" w:cstheme="majorHAnsi"/>
          <w:color w:val="auto"/>
        </w:rPr>
        <w:t>% of children who have free school meals are achieving a good level of development.  Although this is a similar rate to the national and regional achievements for children with free school meals; when looking at performance of the learning and communication area which includes ELGs ‘listening and attention’, ‘understanding’ and ‘speaking’, Sandwell’s rates are statistically lower.</w:t>
      </w:r>
    </w:p>
    <w:p w14:paraId="706A128F" w14:textId="559835AE" w:rsidR="00817CEC" w:rsidRPr="00011862" w:rsidRDefault="006430AB" w:rsidP="006430AB">
      <w:pPr>
        <w:pStyle w:val="Default"/>
        <w:rPr>
          <w:rFonts w:asciiTheme="minorHAnsi" w:hAnsiTheme="minorHAnsi" w:cstheme="majorHAnsi"/>
          <w:color w:val="auto"/>
        </w:rPr>
      </w:pPr>
      <w:r>
        <w:br/>
      </w:r>
      <w:r w:rsidR="00817CEC" w:rsidRPr="00011862">
        <w:rPr>
          <w:rFonts w:asciiTheme="minorHAnsi" w:hAnsiTheme="minorHAnsi" w:cstheme="majorHAnsi"/>
          <w:color w:val="auto"/>
        </w:rPr>
        <w:t>Similarly, to the national and regional trends, girls outperform boys considerably in achieving a good level of development.  In 2019, 12</w:t>
      </w:r>
      <w:r w:rsidR="00817CEC">
        <w:rPr>
          <w:rFonts w:asciiTheme="minorHAnsi" w:hAnsiTheme="minorHAnsi" w:cstheme="majorHAnsi"/>
          <w:color w:val="auto"/>
        </w:rPr>
        <w:t xml:space="preserve">% more girls </w:t>
      </w:r>
      <w:r w:rsidR="00817CEC" w:rsidRPr="00011862">
        <w:rPr>
          <w:rFonts w:asciiTheme="minorHAnsi" w:hAnsiTheme="minorHAnsi" w:cstheme="majorHAnsi"/>
          <w:color w:val="auto"/>
        </w:rPr>
        <w:t>achiev</w:t>
      </w:r>
      <w:r w:rsidR="00817CEC">
        <w:rPr>
          <w:rFonts w:asciiTheme="minorHAnsi" w:hAnsiTheme="minorHAnsi" w:cstheme="majorHAnsi"/>
          <w:color w:val="auto"/>
        </w:rPr>
        <w:t>ed a</w:t>
      </w:r>
      <w:r w:rsidR="00817CEC" w:rsidRPr="00011862">
        <w:rPr>
          <w:rFonts w:asciiTheme="minorHAnsi" w:hAnsiTheme="minorHAnsi" w:cstheme="majorHAnsi"/>
          <w:color w:val="auto"/>
        </w:rPr>
        <w:t xml:space="preserve"> good level of development than boys. </w:t>
      </w:r>
    </w:p>
    <w:p w14:paraId="3056E25A" w14:textId="77777777" w:rsidR="00817CEC" w:rsidRPr="00011862" w:rsidRDefault="00817CEC" w:rsidP="00817CEC">
      <w:pPr>
        <w:pStyle w:val="Default"/>
        <w:rPr>
          <w:rFonts w:asciiTheme="minorHAnsi" w:hAnsiTheme="minorHAnsi" w:cstheme="majorHAnsi"/>
          <w:color w:val="auto"/>
        </w:rPr>
      </w:pPr>
    </w:p>
    <w:p w14:paraId="23E7CE66" w14:textId="31F891AD" w:rsidR="006430AB" w:rsidRPr="006430AB" w:rsidRDefault="00817CEC" w:rsidP="006430AB">
      <w:pPr>
        <w:pStyle w:val="Default"/>
        <w:rPr>
          <w:rFonts w:asciiTheme="minorHAnsi" w:hAnsiTheme="minorHAnsi" w:cstheme="majorHAnsi"/>
          <w:b/>
        </w:rPr>
      </w:pPr>
      <w:r w:rsidRPr="006430AB">
        <w:rPr>
          <w:rFonts w:asciiTheme="minorHAnsi" w:hAnsiTheme="minorHAnsi" w:cstheme="majorHAnsi"/>
          <w:b/>
          <w:color w:val="auto"/>
        </w:rPr>
        <w:t xml:space="preserve">Figure </w:t>
      </w:r>
      <w:r w:rsidR="006430AB" w:rsidRPr="006430AB">
        <w:rPr>
          <w:rFonts w:asciiTheme="minorHAnsi" w:hAnsiTheme="minorHAnsi" w:cstheme="majorHAnsi"/>
          <w:b/>
          <w:color w:val="auto"/>
        </w:rPr>
        <w:t>2.9</w:t>
      </w:r>
      <w:r w:rsidR="00D05BB1">
        <w:rPr>
          <w:rFonts w:asciiTheme="minorHAnsi" w:hAnsiTheme="minorHAnsi" w:cstheme="majorHAnsi"/>
          <w:b/>
          <w:color w:val="auto"/>
        </w:rPr>
        <w:t>:</w:t>
      </w:r>
      <w:r w:rsidR="006430AB" w:rsidRPr="006430AB">
        <w:rPr>
          <w:rFonts w:asciiTheme="minorHAnsi" w:hAnsiTheme="minorHAnsi" w:cstheme="majorHAnsi"/>
          <w:b/>
          <w:color w:val="auto"/>
        </w:rPr>
        <w:t xml:space="preserve"> </w:t>
      </w:r>
      <w:r w:rsidR="006430AB">
        <w:rPr>
          <w:rFonts w:asciiTheme="minorHAnsi" w:hAnsiTheme="minorHAnsi" w:cstheme="majorHAnsi"/>
          <w:b/>
          <w:color w:val="auto"/>
        </w:rPr>
        <w:t>Percentage</w:t>
      </w:r>
      <w:r w:rsidR="006430AB" w:rsidRPr="006430AB">
        <w:rPr>
          <w:rFonts w:asciiTheme="minorHAnsi" w:hAnsiTheme="minorHAnsi" w:cstheme="majorHAnsi"/>
          <w:b/>
          <w:lang w:val="en-US"/>
        </w:rPr>
        <w:t xml:space="preserve"> achieving a good level of development </w:t>
      </w:r>
      <w:r w:rsidR="006430AB">
        <w:rPr>
          <w:rFonts w:asciiTheme="minorHAnsi" w:hAnsiTheme="minorHAnsi" w:cstheme="majorHAnsi"/>
          <w:b/>
          <w:lang w:val="en-US"/>
        </w:rPr>
        <w:t xml:space="preserve">by gender </w:t>
      </w:r>
      <w:r w:rsidR="006430AB" w:rsidRPr="006430AB">
        <w:rPr>
          <w:rFonts w:asciiTheme="minorHAnsi" w:hAnsiTheme="minorHAnsi" w:cstheme="majorHAnsi"/>
          <w:b/>
          <w:lang w:val="en-US"/>
        </w:rPr>
        <w:t>2019</w:t>
      </w:r>
      <w:r w:rsidR="006430AB">
        <w:rPr>
          <w:rFonts w:asciiTheme="minorHAnsi" w:hAnsiTheme="minorHAnsi" w:cstheme="majorHAnsi"/>
          <w:b/>
          <w:lang w:val="en-US"/>
        </w:rPr>
        <w:br/>
      </w:r>
    </w:p>
    <w:p w14:paraId="02DBC7AF" w14:textId="77777777" w:rsidR="00817CEC" w:rsidRPr="00580BD2" w:rsidRDefault="00817CEC" w:rsidP="00817CEC">
      <w:pPr>
        <w:pStyle w:val="Default"/>
        <w:rPr>
          <w:rFonts w:asciiTheme="minorHAnsi" w:hAnsiTheme="minorHAnsi" w:cstheme="majorHAnsi"/>
        </w:rPr>
      </w:pPr>
      <w:r>
        <w:rPr>
          <w:noProof/>
        </w:rPr>
        <w:drawing>
          <wp:inline distT="0" distB="0" distL="0" distR="0" wp14:anchorId="44F23065" wp14:editId="04F060DE">
            <wp:extent cx="5473700" cy="2691130"/>
            <wp:effectExtent l="0" t="0" r="12700" b="13970"/>
            <wp:docPr id="45" name="Chart 45">
              <a:extLst xmlns:a="http://schemas.openxmlformats.org/drawingml/2006/main">
                <a:ext uri="{FF2B5EF4-FFF2-40B4-BE49-F238E27FC236}">
                  <a16:creationId xmlns:a16="http://schemas.microsoft.com/office/drawing/2014/main" id="{3ACD893E-21BB-4625-AD38-C9080AEF8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488459D" w14:textId="77777777" w:rsidR="00817CEC" w:rsidRPr="00011862" w:rsidRDefault="00817CEC" w:rsidP="00817CEC">
      <w:pPr>
        <w:pStyle w:val="Heading1"/>
        <w:shd w:val="clear" w:color="auto" w:fill="FFFFFF"/>
        <w:spacing w:before="0" w:line="240" w:lineRule="auto"/>
        <w:textAlignment w:val="baseline"/>
        <w:rPr>
          <w:rFonts w:ascii="Calibri" w:eastAsia="Times New Roman" w:hAnsi="Calibri" w:cs="Calibri"/>
          <w:color w:val="auto"/>
          <w:sz w:val="24"/>
          <w:szCs w:val="24"/>
        </w:rPr>
      </w:pPr>
      <w:r w:rsidRPr="006430AB">
        <w:rPr>
          <w:rFonts w:ascii="Calibri" w:hAnsi="Calibri" w:cs="Calibri"/>
          <w:color w:val="auto"/>
          <w:sz w:val="24"/>
          <w:szCs w:val="24"/>
        </w:rPr>
        <w:t>Source:</w:t>
      </w:r>
      <w:r w:rsidRPr="00011862">
        <w:rPr>
          <w:rFonts w:ascii="Calibri" w:hAnsi="Calibri" w:cs="Calibri"/>
          <w:color w:val="auto"/>
          <w:sz w:val="24"/>
          <w:szCs w:val="24"/>
        </w:rPr>
        <w:t xml:space="preserve"> </w:t>
      </w:r>
      <w:r w:rsidRPr="00011862">
        <w:rPr>
          <w:rFonts w:ascii="Calibri" w:hAnsi="Calibri" w:cs="Calibri"/>
          <w:bCs/>
          <w:color w:val="auto"/>
          <w:sz w:val="24"/>
          <w:szCs w:val="24"/>
          <w:bdr w:val="none" w:sz="0" w:space="0" w:color="auto" w:frame="1"/>
          <w:shd w:val="clear" w:color="auto" w:fill="FFFFFF"/>
        </w:rPr>
        <w:t>Department for Education</w:t>
      </w:r>
      <w:r w:rsidRPr="00011862">
        <w:rPr>
          <w:rFonts w:ascii="Calibri" w:hAnsi="Calibri" w:cs="Calibri"/>
          <w:color w:val="auto"/>
          <w:sz w:val="24"/>
          <w:szCs w:val="24"/>
        </w:rPr>
        <w:t>, Early years foundation stage profile results: 2018 to 2019</w:t>
      </w:r>
    </w:p>
    <w:p w14:paraId="3AE364FD" w14:textId="77777777" w:rsidR="00817CEC" w:rsidRPr="00011862" w:rsidRDefault="00817CEC" w:rsidP="00817CEC">
      <w:pPr>
        <w:pStyle w:val="Default"/>
        <w:rPr>
          <w:rFonts w:asciiTheme="minorHAnsi" w:hAnsiTheme="minorHAnsi" w:cstheme="majorHAnsi"/>
          <w:color w:val="auto"/>
        </w:rPr>
      </w:pPr>
    </w:p>
    <w:p w14:paraId="40A61D4B" w14:textId="77777777" w:rsidR="00817CEC" w:rsidRDefault="00817CEC" w:rsidP="00817CEC">
      <w:pPr>
        <w:pStyle w:val="Default"/>
        <w:rPr>
          <w:rFonts w:asciiTheme="minorHAnsi" w:hAnsiTheme="minorHAnsi" w:cstheme="majorHAnsi"/>
          <w:color w:val="auto"/>
        </w:rPr>
      </w:pPr>
    </w:p>
    <w:p w14:paraId="6348E15A" w14:textId="1EAFF4A5" w:rsidR="00817CEC" w:rsidRPr="00011862" w:rsidRDefault="00817CEC" w:rsidP="006430AB">
      <w:pPr>
        <w:pStyle w:val="Default"/>
        <w:rPr>
          <w:rFonts w:asciiTheme="minorHAnsi" w:hAnsiTheme="minorHAnsi" w:cstheme="majorHAnsi"/>
          <w:color w:val="auto"/>
        </w:rPr>
      </w:pPr>
      <w:r w:rsidRPr="00011862">
        <w:rPr>
          <w:rFonts w:asciiTheme="minorHAnsi" w:hAnsiTheme="minorHAnsi" w:cstheme="majorHAnsi"/>
          <w:color w:val="auto"/>
        </w:rPr>
        <w:t xml:space="preserve">Figure </w:t>
      </w:r>
      <w:r>
        <w:rPr>
          <w:rFonts w:asciiTheme="minorHAnsi" w:hAnsiTheme="minorHAnsi" w:cstheme="majorHAnsi"/>
          <w:color w:val="auto"/>
        </w:rPr>
        <w:t>2</w:t>
      </w:r>
      <w:r w:rsidR="006430AB">
        <w:rPr>
          <w:rFonts w:asciiTheme="minorHAnsi" w:hAnsiTheme="minorHAnsi" w:cstheme="majorHAnsi"/>
          <w:color w:val="auto"/>
        </w:rPr>
        <w:t>.10</w:t>
      </w:r>
      <w:r>
        <w:rPr>
          <w:rFonts w:asciiTheme="minorHAnsi" w:hAnsiTheme="minorHAnsi" w:cstheme="majorHAnsi"/>
          <w:color w:val="auto"/>
        </w:rPr>
        <w:t xml:space="preserve"> </w:t>
      </w:r>
      <w:r w:rsidRPr="00011862">
        <w:rPr>
          <w:rFonts w:asciiTheme="minorHAnsi" w:hAnsiTheme="minorHAnsi" w:cstheme="majorHAnsi"/>
          <w:color w:val="auto"/>
        </w:rPr>
        <w:t xml:space="preserve">shows the proportion of children achieving at least expected for each of the individual ELGs.  The ranking of the ELGs by proportion of children achieving at least </w:t>
      </w:r>
      <w:r w:rsidRPr="00011862">
        <w:rPr>
          <w:rFonts w:asciiTheme="minorHAnsi" w:hAnsiTheme="minorHAnsi" w:cstheme="majorHAnsi"/>
          <w:color w:val="auto"/>
          <w:u w:val="single"/>
        </w:rPr>
        <w:t>expected</w:t>
      </w:r>
      <w:r w:rsidRPr="00011862">
        <w:rPr>
          <w:rFonts w:asciiTheme="minorHAnsi" w:hAnsiTheme="minorHAnsi" w:cstheme="majorHAnsi"/>
          <w:color w:val="auto"/>
        </w:rPr>
        <w:t xml:space="preserve"> is similar </w:t>
      </w:r>
      <w:r>
        <w:rPr>
          <w:rFonts w:asciiTheme="minorHAnsi" w:hAnsiTheme="minorHAnsi" w:cstheme="majorHAnsi"/>
          <w:color w:val="auto"/>
        </w:rPr>
        <w:t>between</w:t>
      </w:r>
      <w:r w:rsidRPr="00011862">
        <w:rPr>
          <w:rFonts w:asciiTheme="minorHAnsi" w:hAnsiTheme="minorHAnsi" w:cstheme="majorHAnsi"/>
          <w:color w:val="auto"/>
        </w:rPr>
        <w:t xml:space="preserve"> Sandwell and the West Midlands.  </w:t>
      </w:r>
    </w:p>
    <w:p w14:paraId="7DFA33C0" w14:textId="77777777" w:rsidR="00817CEC" w:rsidRPr="00011862" w:rsidRDefault="00817CEC" w:rsidP="006430AB">
      <w:pPr>
        <w:pStyle w:val="Default"/>
        <w:rPr>
          <w:rFonts w:asciiTheme="minorHAnsi" w:hAnsiTheme="minorHAnsi" w:cstheme="majorHAnsi"/>
          <w:color w:val="auto"/>
        </w:rPr>
      </w:pPr>
    </w:p>
    <w:p w14:paraId="02A048D6" w14:textId="77777777" w:rsidR="00817CEC" w:rsidRPr="00011862" w:rsidRDefault="00817CEC" w:rsidP="006430AB">
      <w:pPr>
        <w:pStyle w:val="Default"/>
        <w:rPr>
          <w:rFonts w:asciiTheme="minorHAnsi" w:hAnsiTheme="minorHAnsi" w:cstheme="majorHAnsi"/>
          <w:color w:val="auto"/>
        </w:rPr>
      </w:pPr>
      <w:r>
        <w:rPr>
          <w:rFonts w:asciiTheme="minorHAnsi" w:hAnsiTheme="minorHAnsi" w:cstheme="majorHAnsi"/>
          <w:color w:val="auto"/>
        </w:rPr>
        <w:t>S</w:t>
      </w:r>
      <w:r w:rsidRPr="00011862">
        <w:rPr>
          <w:rFonts w:asciiTheme="minorHAnsi" w:hAnsiTheme="minorHAnsi" w:cstheme="majorHAnsi"/>
          <w:color w:val="auto"/>
        </w:rPr>
        <w:t xml:space="preserve">ome of the lowest performing ELGs, have the largest percentage point differences, with Sandwell proportions being up to 5% lower than the West Midlands. </w:t>
      </w:r>
    </w:p>
    <w:p w14:paraId="5A16E56D" w14:textId="77777777" w:rsidR="00817CEC" w:rsidRPr="00011862" w:rsidRDefault="00817CEC" w:rsidP="006430AB">
      <w:pPr>
        <w:pStyle w:val="Default"/>
        <w:rPr>
          <w:rFonts w:asciiTheme="minorHAnsi" w:hAnsiTheme="minorHAnsi" w:cstheme="majorHAnsi"/>
          <w:color w:val="auto"/>
        </w:rPr>
      </w:pPr>
    </w:p>
    <w:p w14:paraId="3B6C5C78" w14:textId="77777777" w:rsidR="00817CEC" w:rsidRPr="00011862" w:rsidRDefault="00817CEC" w:rsidP="006430AB">
      <w:pPr>
        <w:pStyle w:val="Default"/>
        <w:rPr>
          <w:rFonts w:asciiTheme="minorHAnsi" w:hAnsiTheme="minorHAnsi" w:cstheme="majorHAnsi"/>
          <w:color w:val="auto"/>
        </w:rPr>
      </w:pPr>
      <w:r w:rsidRPr="00011862">
        <w:rPr>
          <w:rFonts w:asciiTheme="minorHAnsi" w:hAnsiTheme="minorHAnsi" w:cstheme="majorHAnsi"/>
          <w:color w:val="auto"/>
        </w:rPr>
        <w:t>In addition to the prime areas, reading is one of the goals that contributes to the ‘good level of development’ measurements.  However, this is the 2</w:t>
      </w:r>
      <w:r w:rsidRPr="00011862">
        <w:rPr>
          <w:rFonts w:asciiTheme="minorHAnsi" w:hAnsiTheme="minorHAnsi" w:cstheme="majorHAnsi"/>
          <w:color w:val="auto"/>
          <w:vertAlign w:val="superscript"/>
        </w:rPr>
        <w:t>nd</w:t>
      </w:r>
      <w:r w:rsidRPr="00011862">
        <w:rPr>
          <w:rFonts w:asciiTheme="minorHAnsi" w:hAnsiTheme="minorHAnsi" w:cstheme="majorHAnsi"/>
          <w:color w:val="auto"/>
        </w:rPr>
        <w:t xml:space="preserve"> lowest performing ELGs for Sandwell.</w:t>
      </w:r>
    </w:p>
    <w:p w14:paraId="47243837" w14:textId="77777777" w:rsidR="00817CEC" w:rsidRDefault="00817CEC" w:rsidP="006430AB">
      <w:pPr>
        <w:pStyle w:val="Default"/>
        <w:rPr>
          <w:rFonts w:asciiTheme="minorHAnsi" w:hAnsiTheme="minorHAnsi"/>
          <w:b/>
          <w:color w:val="auto"/>
        </w:rPr>
      </w:pPr>
    </w:p>
    <w:p w14:paraId="538D80E7" w14:textId="77777777" w:rsidR="00817CEC" w:rsidRPr="00011862" w:rsidRDefault="00817CEC" w:rsidP="00817CEC">
      <w:pPr>
        <w:pStyle w:val="Default"/>
        <w:rPr>
          <w:rFonts w:asciiTheme="minorHAnsi" w:hAnsiTheme="minorHAnsi"/>
          <w:b/>
          <w:color w:val="auto"/>
        </w:rPr>
      </w:pPr>
    </w:p>
    <w:p w14:paraId="7696FF79" w14:textId="77777777" w:rsidR="00817CEC" w:rsidRPr="00011862" w:rsidRDefault="00817CEC" w:rsidP="00817CEC">
      <w:pPr>
        <w:pStyle w:val="Default"/>
        <w:rPr>
          <w:rFonts w:asciiTheme="minorHAnsi" w:hAnsiTheme="minorHAnsi"/>
          <w:b/>
          <w:color w:val="auto"/>
        </w:rPr>
      </w:pPr>
    </w:p>
    <w:p w14:paraId="19D3B1D5" w14:textId="77777777" w:rsidR="00817CEC" w:rsidRPr="00011862" w:rsidRDefault="00817CEC" w:rsidP="00817CEC">
      <w:pPr>
        <w:pStyle w:val="Default"/>
        <w:rPr>
          <w:rFonts w:asciiTheme="minorHAnsi" w:hAnsiTheme="minorHAnsi"/>
          <w:b/>
          <w:color w:val="auto"/>
        </w:rPr>
      </w:pPr>
    </w:p>
    <w:p w14:paraId="6959E901" w14:textId="77777777" w:rsidR="00817CEC" w:rsidRPr="00011862" w:rsidRDefault="00817CEC" w:rsidP="00817CEC">
      <w:pPr>
        <w:pStyle w:val="Default"/>
        <w:rPr>
          <w:rFonts w:asciiTheme="minorHAnsi" w:hAnsiTheme="minorHAnsi"/>
          <w:b/>
          <w:color w:val="auto"/>
        </w:rPr>
      </w:pPr>
    </w:p>
    <w:p w14:paraId="394CC725" w14:textId="77777777" w:rsidR="00817CEC" w:rsidRPr="00011862" w:rsidRDefault="00817CEC" w:rsidP="00817CEC">
      <w:pPr>
        <w:pStyle w:val="Default"/>
        <w:rPr>
          <w:rFonts w:asciiTheme="minorHAnsi" w:hAnsiTheme="minorHAnsi"/>
          <w:b/>
          <w:color w:val="auto"/>
        </w:rPr>
      </w:pPr>
    </w:p>
    <w:p w14:paraId="5180B2FA" w14:textId="77777777" w:rsidR="00817CEC" w:rsidRPr="00011862" w:rsidRDefault="00817CEC" w:rsidP="00817CEC">
      <w:pPr>
        <w:pStyle w:val="Default"/>
        <w:rPr>
          <w:rFonts w:asciiTheme="minorHAnsi" w:hAnsiTheme="minorHAnsi"/>
          <w:b/>
          <w:color w:val="auto"/>
        </w:rPr>
      </w:pPr>
    </w:p>
    <w:p w14:paraId="1CDBC2D7" w14:textId="77777777" w:rsidR="006430AB" w:rsidRDefault="006430AB">
      <w:pPr>
        <w:spacing w:after="160" w:line="259" w:lineRule="auto"/>
        <w:rPr>
          <w:rFonts w:eastAsiaTheme="minorHAnsi" w:cs="Arial"/>
          <w:sz w:val="24"/>
          <w:szCs w:val="24"/>
        </w:rPr>
      </w:pPr>
      <w:r>
        <w:br w:type="page"/>
      </w:r>
    </w:p>
    <w:p w14:paraId="515F072C" w14:textId="4267B4FA" w:rsidR="00817CEC" w:rsidRPr="006430AB" w:rsidRDefault="00817CEC" w:rsidP="00817CEC">
      <w:pPr>
        <w:pStyle w:val="Default"/>
        <w:rPr>
          <w:rFonts w:asciiTheme="minorHAnsi" w:hAnsiTheme="minorHAnsi"/>
          <w:b/>
          <w:color w:val="auto"/>
        </w:rPr>
      </w:pPr>
      <w:r w:rsidRPr="006430AB">
        <w:rPr>
          <w:rFonts w:asciiTheme="minorHAnsi" w:hAnsiTheme="minorHAnsi"/>
          <w:b/>
          <w:color w:val="auto"/>
        </w:rPr>
        <w:t>Figure 2.</w:t>
      </w:r>
      <w:r w:rsidR="006430AB" w:rsidRPr="006430AB">
        <w:rPr>
          <w:rFonts w:asciiTheme="minorHAnsi" w:hAnsiTheme="minorHAnsi"/>
          <w:b/>
          <w:color w:val="auto"/>
        </w:rPr>
        <w:t>10</w:t>
      </w:r>
    </w:p>
    <w:p w14:paraId="197C344F" w14:textId="77777777" w:rsidR="00817CEC" w:rsidRDefault="00817CEC" w:rsidP="00817CEC">
      <w:pPr>
        <w:pStyle w:val="Default"/>
        <w:rPr>
          <w:rFonts w:asciiTheme="minorHAnsi" w:hAnsiTheme="minorHAnsi"/>
        </w:rPr>
      </w:pPr>
      <w:r>
        <w:rPr>
          <w:rFonts w:asciiTheme="minorHAnsi" w:hAnsiTheme="minorHAnsi"/>
          <w:noProof/>
        </w:rPr>
        <w:drawing>
          <wp:inline distT="0" distB="0" distL="0" distR="0" wp14:anchorId="5903E954" wp14:editId="14C0D07C">
            <wp:extent cx="5499100" cy="7346315"/>
            <wp:effectExtent l="0" t="0" r="635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99285" cy="7346562"/>
                    </a:xfrm>
                    <a:prstGeom prst="rect">
                      <a:avLst/>
                    </a:prstGeom>
                    <a:noFill/>
                  </pic:spPr>
                </pic:pic>
              </a:graphicData>
            </a:graphic>
          </wp:inline>
        </w:drawing>
      </w:r>
    </w:p>
    <w:p w14:paraId="1A45704C" w14:textId="41328467" w:rsidR="00817CEC" w:rsidRPr="00C11B00" w:rsidRDefault="00155353" w:rsidP="00817CEC">
      <w:pPr>
        <w:pStyle w:val="Heading1"/>
        <w:shd w:val="clear" w:color="auto" w:fill="FFFFFF"/>
        <w:spacing w:before="0" w:line="240" w:lineRule="auto"/>
        <w:textAlignment w:val="baseline"/>
        <w:rPr>
          <w:rFonts w:ascii="Calibri" w:eastAsia="Times New Roman" w:hAnsi="Calibri" w:cs="Calibri"/>
          <w:color w:val="000000" w:themeColor="text1"/>
          <w:sz w:val="24"/>
          <w:szCs w:val="24"/>
        </w:rPr>
      </w:pPr>
      <w:r>
        <w:rPr>
          <w:rFonts w:ascii="Calibri" w:hAnsi="Calibri" w:cs="Calibri"/>
          <w:color w:val="000000" w:themeColor="text1"/>
          <w:sz w:val="24"/>
          <w:szCs w:val="24"/>
        </w:rPr>
        <w:br/>
      </w:r>
      <w:r w:rsidR="00817CEC" w:rsidRPr="00155353">
        <w:rPr>
          <w:rFonts w:ascii="Calibri" w:hAnsi="Calibri" w:cs="Calibri"/>
          <w:color w:val="000000" w:themeColor="text1"/>
          <w:sz w:val="24"/>
          <w:szCs w:val="24"/>
        </w:rPr>
        <w:t>Source:</w:t>
      </w:r>
      <w:r w:rsidR="00817CEC" w:rsidRPr="00C11B00">
        <w:rPr>
          <w:rFonts w:ascii="Calibri" w:hAnsi="Calibri" w:cs="Calibri"/>
          <w:color w:val="000000" w:themeColor="text1"/>
          <w:sz w:val="24"/>
          <w:szCs w:val="24"/>
        </w:rPr>
        <w:t xml:space="preserve"> </w:t>
      </w:r>
      <w:r w:rsidR="00817CEC" w:rsidRPr="00C11B00">
        <w:rPr>
          <w:rFonts w:ascii="Calibri" w:hAnsi="Calibri" w:cs="Calibri"/>
          <w:bCs/>
          <w:color w:val="000000" w:themeColor="text1"/>
          <w:sz w:val="24"/>
          <w:szCs w:val="24"/>
          <w:bdr w:val="none" w:sz="0" w:space="0" w:color="auto" w:frame="1"/>
          <w:shd w:val="clear" w:color="auto" w:fill="FFFFFF"/>
        </w:rPr>
        <w:t>Department for Education</w:t>
      </w:r>
      <w:r w:rsidR="00817CEC" w:rsidRPr="00C11B00">
        <w:rPr>
          <w:rFonts w:ascii="Calibri" w:hAnsi="Calibri" w:cs="Calibri"/>
          <w:color w:val="000000" w:themeColor="text1"/>
          <w:sz w:val="24"/>
          <w:szCs w:val="24"/>
        </w:rPr>
        <w:t>, Early years foundation stage profile results: 2018 to 2019</w:t>
      </w:r>
    </w:p>
    <w:p w14:paraId="74F1C4D6" w14:textId="77777777" w:rsidR="00817CEC" w:rsidRDefault="00817CEC" w:rsidP="00817CEC">
      <w:pPr>
        <w:pStyle w:val="Default"/>
        <w:rPr>
          <w:rFonts w:asciiTheme="minorHAnsi" w:hAnsiTheme="minorHAnsi"/>
        </w:rPr>
      </w:pPr>
    </w:p>
    <w:p w14:paraId="7A192C8A" w14:textId="77777777" w:rsidR="00817CEC" w:rsidRDefault="00817CEC" w:rsidP="00817CEC">
      <w:pPr>
        <w:pStyle w:val="Default"/>
        <w:rPr>
          <w:rFonts w:asciiTheme="minorHAnsi" w:hAnsiTheme="minorHAnsi"/>
        </w:rPr>
      </w:pPr>
    </w:p>
    <w:p w14:paraId="32CEB26E" w14:textId="77777777" w:rsidR="00817CEC" w:rsidRDefault="00817CEC" w:rsidP="00817CEC">
      <w:pPr>
        <w:pStyle w:val="Default"/>
        <w:rPr>
          <w:rFonts w:asciiTheme="minorHAnsi" w:hAnsiTheme="minorHAnsi"/>
          <w:b/>
        </w:rPr>
      </w:pPr>
    </w:p>
    <w:p w14:paraId="08A3FF13" w14:textId="77777777" w:rsidR="00817CEC" w:rsidRDefault="00817CEC" w:rsidP="00674CBB">
      <w:pPr>
        <w:rPr>
          <w:rFonts w:cstheme="majorHAnsi"/>
          <w:sz w:val="24"/>
          <w:szCs w:val="24"/>
        </w:rPr>
      </w:pPr>
      <w:r w:rsidRPr="00580BD2">
        <w:rPr>
          <w:rFonts w:cstheme="majorHAnsi"/>
          <w:sz w:val="24"/>
          <w:szCs w:val="24"/>
        </w:rPr>
        <w:t>National data suggests inequalities within certain ethnic groups.  This is particularly important and relevant for Sandwell, due to its e</w:t>
      </w:r>
      <w:r>
        <w:rPr>
          <w:rFonts w:cstheme="majorHAnsi"/>
          <w:sz w:val="24"/>
          <w:szCs w:val="24"/>
        </w:rPr>
        <w:t xml:space="preserve">thnically diverse population - </w:t>
      </w:r>
      <w:r w:rsidRPr="00580BD2">
        <w:rPr>
          <w:rFonts w:cstheme="majorHAnsi"/>
          <w:sz w:val="24"/>
          <w:szCs w:val="24"/>
        </w:rPr>
        <w:t xml:space="preserve">30% of Sandwell’s population is from </w:t>
      </w:r>
      <w:r>
        <w:rPr>
          <w:rFonts w:cstheme="majorHAnsi"/>
          <w:sz w:val="24"/>
          <w:szCs w:val="24"/>
        </w:rPr>
        <w:t xml:space="preserve">minority </w:t>
      </w:r>
      <w:r w:rsidRPr="00580BD2">
        <w:rPr>
          <w:rFonts w:cstheme="majorHAnsi"/>
          <w:sz w:val="24"/>
          <w:szCs w:val="24"/>
        </w:rPr>
        <w:t>ethnic groups (Census 2011)</w:t>
      </w:r>
      <w:r>
        <w:rPr>
          <w:rFonts w:cstheme="majorHAnsi"/>
          <w:sz w:val="24"/>
          <w:szCs w:val="24"/>
        </w:rPr>
        <w:t xml:space="preserve">.   However, the available data for Sandwell does not show any statistically significant differences in achievement between the different ethnicities within Sandwell. </w:t>
      </w:r>
    </w:p>
    <w:p w14:paraId="167D24F7" w14:textId="77777777" w:rsidR="00817CEC" w:rsidRDefault="00817CEC" w:rsidP="00817CEC">
      <w:pPr>
        <w:jc w:val="both"/>
      </w:pPr>
    </w:p>
    <w:p w14:paraId="6226644F" w14:textId="68A1AF56" w:rsidR="00817CEC" w:rsidRDefault="00817CEC" w:rsidP="00674CBB">
      <w:pPr>
        <w:rPr>
          <w:rFonts w:cstheme="majorHAnsi"/>
          <w:sz w:val="24"/>
          <w:szCs w:val="24"/>
        </w:rPr>
      </w:pPr>
      <w:r>
        <w:rPr>
          <w:rFonts w:cstheme="majorHAnsi"/>
          <w:sz w:val="24"/>
          <w:szCs w:val="24"/>
        </w:rPr>
        <w:t xml:space="preserve">Figures </w:t>
      </w:r>
      <w:r w:rsidR="00674CBB">
        <w:rPr>
          <w:rFonts w:cstheme="majorHAnsi"/>
          <w:sz w:val="24"/>
          <w:szCs w:val="24"/>
        </w:rPr>
        <w:t>2.11</w:t>
      </w:r>
      <w:r>
        <w:rPr>
          <w:rFonts w:cstheme="majorHAnsi"/>
          <w:sz w:val="24"/>
          <w:szCs w:val="24"/>
        </w:rPr>
        <w:t xml:space="preserve">, </w:t>
      </w:r>
      <w:r w:rsidR="00674CBB">
        <w:rPr>
          <w:rFonts w:cstheme="majorHAnsi"/>
          <w:sz w:val="24"/>
          <w:szCs w:val="24"/>
        </w:rPr>
        <w:t>2.12</w:t>
      </w:r>
      <w:r>
        <w:rPr>
          <w:rFonts w:cstheme="majorHAnsi"/>
          <w:sz w:val="24"/>
          <w:szCs w:val="24"/>
        </w:rPr>
        <w:t xml:space="preserve"> and </w:t>
      </w:r>
      <w:r w:rsidR="00674CBB">
        <w:rPr>
          <w:rFonts w:cstheme="majorHAnsi"/>
          <w:sz w:val="24"/>
          <w:szCs w:val="24"/>
        </w:rPr>
        <w:t>2.13</w:t>
      </w:r>
      <w:r>
        <w:rPr>
          <w:rFonts w:cstheme="majorHAnsi"/>
          <w:sz w:val="24"/>
          <w:szCs w:val="24"/>
        </w:rPr>
        <w:t xml:space="preserve"> show some statistically significant differences between the outcomes for pupils depending on their first language.  T</w:t>
      </w:r>
      <w:r w:rsidRPr="00580BD2">
        <w:rPr>
          <w:rFonts w:cstheme="majorHAnsi"/>
          <w:sz w:val="24"/>
          <w:szCs w:val="24"/>
        </w:rPr>
        <w:t xml:space="preserve">he 2018 school census has identified that 33% of Sandwell primary school children’s first language is not English, suggesting a strong mix of ethnicities and backgrounds amongst Sandwell children.  The 2011 census </w:t>
      </w:r>
      <w:r>
        <w:rPr>
          <w:rFonts w:cstheme="majorHAnsi"/>
          <w:sz w:val="24"/>
          <w:szCs w:val="24"/>
        </w:rPr>
        <w:t xml:space="preserve">also </w:t>
      </w:r>
      <w:r w:rsidRPr="00580BD2">
        <w:rPr>
          <w:rFonts w:cstheme="majorHAnsi"/>
          <w:sz w:val="24"/>
          <w:szCs w:val="24"/>
        </w:rPr>
        <w:t xml:space="preserve">highlighted that </w:t>
      </w:r>
      <w:r>
        <w:rPr>
          <w:rFonts w:cstheme="majorHAnsi"/>
          <w:sz w:val="24"/>
          <w:szCs w:val="24"/>
        </w:rPr>
        <w:t xml:space="preserve">there are </w:t>
      </w:r>
      <w:r w:rsidRPr="00580BD2">
        <w:rPr>
          <w:rFonts w:cstheme="majorHAnsi"/>
          <w:sz w:val="24"/>
          <w:szCs w:val="24"/>
        </w:rPr>
        <w:t>some wards, such as St.</w:t>
      </w:r>
      <w:r>
        <w:rPr>
          <w:rFonts w:cstheme="majorHAnsi"/>
          <w:sz w:val="24"/>
          <w:szCs w:val="24"/>
        </w:rPr>
        <w:t xml:space="preserve"> </w:t>
      </w:r>
      <w:r w:rsidRPr="00580BD2">
        <w:rPr>
          <w:rFonts w:cstheme="majorHAnsi"/>
          <w:sz w:val="24"/>
          <w:szCs w:val="24"/>
        </w:rPr>
        <w:t>Pauls in Smethwick</w:t>
      </w:r>
      <w:r>
        <w:rPr>
          <w:rFonts w:cstheme="majorHAnsi"/>
          <w:sz w:val="24"/>
          <w:szCs w:val="24"/>
        </w:rPr>
        <w:t xml:space="preserve">, where </w:t>
      </w:r>
      <w:r w:rsidRPr="00580BD2">
        <w:rPr>
          <w:rFonts w:cstheme="majorHAnsi"/>
          <w:sz w:val="24"/>
          <w:szCs w:val="24"/>
        </w:rPr>
        <w:t>13% of its population do not speak English well or at all.</w:t>
      </w:r>
    </w:p>
    <w:p w14:paraId="2373B9D0" w14:textId="3D25571F" w:rsidR="00817CEC" w:rsidRPr="00580BD2" w:rsidRDefault="00674CBB" w:rsidP="00817CEC">
      <w:pPr>
        <w:pStyle w:val="Default"/>
        <w:rPr>
          <w:rFonts w:asciiTheme="minorHAnsi" w:hAnsiTheme="minorHAnsi"/>
        </w:rPr>
      </w:pPr>
      <w:r>
        <w:rPr>
          <w:rFonts w:asciiTheme="minorHAnsi" w:hAnsiTheme="minorHAnsi"/>
          <w:b/>
        </w:rPr>
        <w:br/>
      </w:r>
      <w:r w:rsidR="00817CEC" w:rsidRPr="00674CBB">
        <w:rPr>
          <w:rFonts w:asciiTheme="minorHAnsi" w:hAnsiTheme="minorHAnsi"/>
          <w:b/>
        </w:rPr>
        <w:t xml:space="preserve">Figure </w:t>
      </w:r>
      <w:r w:rsidRPr="00674CBB">
        <w:rPr>
          <w:rFonts w:asciiTheme="minorHAnsi" w:hAnsiTheme="minorHAnsi"/>
          <w:b/>
        </w:rPr>
        <w:t>2</w:t>
      </w:r>
      <w:r w:rsidR="00817CEC" w:rsidRPr="00674CBB">
        <w:rPr>
          <w:rFonts w:asciiTheme="minorHAnsi" w:hAnsiTheme="minorHAnsi"/>
          <w:b/>
        </w:rPr>
        <w:t>.</w:t>
      </w:r>
      <w:r w:rsidRPr="00674CBB">
        <w:rPr>
          <w:rFonts w:asciiTheme="minorHAnsi" w:hAnsiTheme="minorHAnsi"/>
          <w:b/>
        </w:rPr>
        <w:t>11</w:t>
      </w:r>
      <w:r w:rsidR="00D05BB1">
        <w:rPr>
          <w:rFonts w:asciiTheme="minorHAnsi" w:hAnsiTheme="minorHAnsi"/>
          <w:b/>
        </w:rPr>
        <w:t>:</w:t>
      </w:r>
      <w:r w:rsidRPr="00674CBB">
        <w:rPr>
          <w:rFonts w:asciiTheme="minorHAnsi" w:hAnsiTheme="minorHAnsi"/>
          <w:b/>
        </w:rPr>
        <w:t xml:space="preserve"> </w:t>
      </w:r>
      <w:r w:rsidRPr="00674CBB">
        <w:rPr>
          <w:rFonts w:asciiTheme="minorHAnsi" w:hAnsiTheme="minorHAnsi"/>
          <w:b/>
          <w:bCs/>
        </w:rPr>
        <w:t xml:space="preserve">Proportion of </w:t>
      </w:r>
      <w:r>
        <w:rPr>
          <w:rFonts w:asciiTheme="minorHAnsi" w:hAnsiTheme="minorHAnsi"/>
          <w:b/>
          <w:bCs/>
        </w:rPr>
        <w:t>p</w:t>
      </w:r>
      <w:r w:rsidRPr="00674CBB">
        <w:rPr>
          <w:rFonts w:asciiTheme="minorHAnsi" w:hAnsiTheme="minorHAnsi"/>
          <w:b/>
          <w:bCs/>
        </w:rPr>
        <w:t xml:space="preserve">upils </w:t>
      </w:r>
      <w:r>
        <w:rPr>
          <w:rFonts w:asciiTheme="minorHAnsi" w:hAnsiTheme="minorHAnsi"/>
          <w:b/>
          <w:bCs/>
        </w:rPr>
        <w:t>r</w:t>
      </w:r>
      <w:r w:rsidRPr="00674CBB">
        <w:rPr>
          <w:rFonts w:asciiTheme="minorHAnsi" w:hAnsiTheme="minorHAnsi"/>
          <w:b/>
          <w:bCs/>
        </w:rPr>
        <w:t xml:space="preserve">eaching a </w:t>
      </w:r>
      <w:r>
        <w:rPr>
          <w:rFonts w:asciiTheme="minorHAnsi" w:hAnsiTheme="minorHAnsi"/>
          <w:b/>
          <w:bCs/>
        </w:rPr>
        <w:t>g</w:t>
      </w:r>
      <w:r w:rsidRPr="00674CBB">
        <w:rPr>
          <w:rFonts w:asciiTheme="minorHAnsi" w:hAnsiTheme="minorHAnsi"/>
          <w:b/>
          <w:bCs/>
        </w:rPr>
        <w:t xml:space="preserve">ood </w:t>
      </w:r>
      <w:r>
        <w:rPr>
          <w:rFonts w:asciiTheme="minorHAnsi" w:hAnsiTheme="minorHAnsi"/>
          <w:b/>
          <w:bCs/>
        </w:rPr>
        <w:t>l</w:t>
      </w:r>
      <w:r w:rsidRPr="00674CBB">
        <w:rPr>
          <w:rFonts w:asciiTheme="minorHAnsi" w:hAnsiTheme="minorHAnsi"/>
          <w:b/>
          <w:bCs/>
        </w:rPr>
        <w:t xml:space="preserve">evel of </w:t>
      </w:r>
      <w:r>
        <w:rPr>
          <w:rFonts w:asciiTheme="minorHAnsi" w:hAnsiTheme="minorHAnsi"/>
          <w:b/>
          <w:bCs/>
        </w:rPr>
        <w:t>d</w:t>
      </w:r>
      <w:r w:rsidRPr="00674CBB">
        <w:rPr>
          <w:rFonts w:asciiTheme="minorHAnsi" w:hAnsiTheme="minorHAnsi"/>
          <w:b/>
          <w:bCs/>
        </w:rPr>
        <w:t xml:space="preserve">evelopment </w:t>
      </w:r>
      <w:r>
        <w:rPr>
          <w:rFonts w:asciiTheme="minorHAnsi" w:hAnsiTheme="minorHAnsi"/>
          <w:b/>
          <w:bCs/>
        </w:rPr>
        <w:t>b</w:t>
      </w:r>
      <w:r w:rsidRPr="00674CBB">
        <w:rPr>
          <w:rFonts w:asciiTheme="minorHAnsi" w:hAnsiTheme="minorHAnsi"/>
          <w:b/>
          <w:bCs/>
        </w:rPr>
        <w:t xml:space="preserve">y </w:t>
      </w:r>
      <w:r>
        <w:rPr>
          <w:rFonts w:asciiTheme="minorHAnsi" w:hAnsiTheme="minorHAnsi"/>
          <w:b/>
          <w:bCs/>
        </w:rPr>
        <w:t>f</w:t>
      </w:r>
      <w:r w:rsidRPr="00674CBB">
        <w:rPr>
          <w:rFonts w:asciiTheme="minorHAnsi" w:hAnsiTheme="minorHAnsi"/>
          <w:b/>
          <w:bCs/>
        </w:rPr>
        <w:t xml:space="preserve">irst </w:t>
      </w:r>
      <w:r>
        <w:rPr>
          <w:rFonts w:asciiTheme="minorHAnsi" w:hAnsiTheme="minorHAnsi"/>
          <w:b/>
          <w:bCs/>
        </w:rPr>
        <w:t>l</w:t>
      </w:r>
      <w:r w:rsidRPr="00674CBB">
        <w:rPr>
          <w:rFonts w:asciiTheme="minorHAnsi" w:hAnsiTheme="minorHAnsi"/>
          <w:b/>
          <w:bCs/>
        </w:rPr>
        <w:t>anguage 2017-9</w:t>
      </w:r>
    </w:p>
    <w:p w14:paraId="29AC2353" w14:textId="77777777" w:rsidR="00817CEC" w:rsidRDefault="00817CEC" w:rsidP="00817CEC">
      <w:pPr>
        <w:rPr>
          <w:rFonts w:cstheme="majorHAnsi"/>
          <w:sz w:val="24"/>
          <w:szCs w:val="24"/>
        </w:rPr>
      </w:pPr>
      <w:r>
        <w:rPr>
          <w:noProof/>
        </w:rPr>
        <w:drawing>
          <wp:inline distT="0" distB="0" distL="0" distR="0" wp14:anchorId="5CA10118" wp14:editId="440AE27D">
            <wp:extent cx="5731510" cy="3424555"/>
            <wp:effectExtent l="0" t="0" r="2540" b="4445"/>
            <wp:docPr id="55" name="Chart 55">
              <a:extLst xmlns:a="http://schemas.openxmlformats.org/drawingml/2006/main">
                <a:ext uri="{FF2B5EF4-FFF2-40B4-BE49-F238E27FC236}">
                  <a16:creationId xmlns:a16="http://schemas.microsoft.com/office/drawing/2014/main" id="{D0ED7EEF-2E79-4C2D-A7FA-41CB86F69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BD3FAEC" w14:textId="77777777" w:rsidR="00817CEC" w:rsidRDefault="00817CEC" w:rsidP="00817CEC">
      <w:pPr>
        <w:pStyle w:val="Heading1"/>
        <w:shd w:val="clear" w:color="auto" w:fill="FFFFFF"/>
        <w:spacing w:before="0" w:line="240" w:lineRule="auto"/>
        <w:textAlignment w:val="baseline"/>
        <w:rPr>
          <w:rFonts w:ascii="Calibri" w:hAnsi="Calibri" w:cs="Calibri"/>
          <w:color w:val="000000" w:themeColor="text1"/>
          <w:sz w:val="24"/>
          <w:szCs w:val="24"/>
        </w:rPr>
      </w:pPr>
      <w:r w:rsidRPr="00D05BB1">
        <w:rPr>
          <w:rFonts w:ascii="Calibri" w:hAnsi="Calibri" w:cs="Calibri"/>
          <w:color w:val="000000" w:themeColor="text1"/>
          <w:sz w:val="24"/>
          <w:szCs w:val="24"/>
        </w:rPr>
        <w:t xml:space="preserve">Source: </w:t>
      </w:r>
      <w:r>
        <w:rPr>
          <w:rFonts w:ascii="Calibri" w:hAnsi="Calibri" w:cs="Calibri"/>
          <w:color w:val="000000" w:themeColor="text1"/>
          <w:sz w:val="24"/>
          <w:szCs w:val="24"/>
        </w:rPr>
        <w:t xml:space="preserve">Derived from the </w:t>
      </w:r>
      <w:r w:rsidRPr="00C11B00">
        <w:rPr>
          <w:rFonts w:ascii="Calibri" w:hAnsi="Calibri" w:cs="Calibri"/>
          <w:bCs/>
          <w:color w:val="000000" w:themeColor="text1"/>
          <w:sz w:val="24"/>
          <w:szCs w:val="24"/>
          <w:bdr w:val="none" w:sz="0" w:space="0" w:color="auto" w:frame="1"/>
          <w:shd w:val="clear" w:color="auto" w:fill="FFFFFF"/>
        </w:rPr>
        <w:t>Department for Education</w:t>
      </w:r>
      <w:r w:rsidRPr="00C11B00">
        <w:rPr>
          <w:rFonts w:ascii="Calibri" w:hAnsi="Calibri" w:cs="Calibri"/>
          <w:color w:val="000000" w:themeColor="text1"/>
          <w:sz w:val="24"/>
          <w:szCs w:val="24"/>
        </w:rPr>
        <w:t>, Early years foundation stage profile results: 201</w:t>
      </w:r>
      <w:r>
        <w:rPr>
          <w:rFonts w:ascii="Calibri" w:hAnsi="Calibri" w:cs="Calibri"/>
          <w:color w:val="000000" w:themeColor="text1"/>
          <w:sz w:val="24"/>
          <w:szCs w:val="24"/>
        </w:rPr>
        <w:t>7</w:t>
      </w:r>
      <w:r w:rsidRPr="00C11B00">
        <w:rPr>
          <w:rFonts w:ascii="Calibri" w:hAnsi="Calibri" w:cs="Calibri"/>
          <w:color w:val="000000" w:themeColor="text1"/>
          <w:sz w:val="24"/>
          <w:szCs w:val="24"/>
        </w:rPr>
        <w:t xml:space="preserve"> to 2019</w:t>
      </w:r>
      <w:r>
        <w:rPr>
          <w:rFonts w:ascii="Calibri" w:hAnsi="Calibri" w:cs="Calibri"/>
          <w:color w:val="000000" w:themeColor="text1"/>
          <w:sz w:val="24"/>
          <w:szCs w:val="24"/>
        </w:rPr>
        <w:t xml:space="preserve"> </w:t>
      </w:r>
    </w:p>
    <w:p w14:paraId="1E4E0C6C" w14:textId="77777777" w:rsidR="00817CEC" w:rsidRPr="00CD541F" w:rsidRDefault="00817CEC" w:rsidP="00817CEC"/>
    <w:p w14:paraId="333F5929" w14:textId="11FFF100" w:rsidR="00817CEC" w:rsidRPr="00011AC5" w:rsidRDefault="00817CEC" w:rsidP="00B13D4A">
      <w:pPr>
        <w:pStyle w:val="ListParagraph"/>
        <w:numPr>
          <w:ilvl w:val="0"/>
          <w:numId w:val="29"/>
        </w:numPr>
        <w:spacing w:after="0" w:line="240" w:lineRule="auto"/>
        <w:ind w:left="851" w:hanging="425"/>
        <w:rPr>
          <w:b/>
        </w:rPr>
      </w:pPr>
      <w:r w:rsidRPr="00011AC5">
        <w:rPr>
          <w:rFonts w:cstheme="majorHAnsi"/>
          <w:sz w:val="24"/>
          <w:szCs w:val="24"/>
        </w:rPr>
        <w:t>The proportion of pupils in Sandwell</w:t>
      </w:r>
      <w:r>
        <w:rPr>
          <w:rFonts w:cstheme="majorHAnsi"/>
          <w:sz w:val="24"/>
          <w:szCs w:val="24"/>
        </w:rPr>
        <w:t>, the West Midlands Region and England</w:t>
      </w:r>
      <w:r w:rsidRPr="00011AC5">
        <w:rPr>
          <w:rFonts w:cstheme="majorHAnsi"/>
          <w:sz w:val="24"/>
          <w:szCs w:val="24"/>
        </w:rPr>
        <w:t xml:space="preserve"> with </w:t>
      </w:r>
      <w:r w:rsidR="00684A89">
        <w:rPr>
          <w:rFonts w:cstheme="majorHAnsi"/>
          <w:sz w:val="24"/>
          <w:szCs w:val="24"/>
        </w:rPr>
        <w:t>“</w:t>
      </w:r>
      <w:r w:rsidRPr="00011AC5">
        <w:rPr>
          <w:rFonts w:cstheme="majorHAnsi"/>
          <w:sz w:val="24"/>
          <w:szCs w:val="24"/>
        </w:rPr>
        <w:t>Other Language</w:t>
      </w:r>
      <w:r w:rsidR="00684A89">
        <w:rPr>
          <w:rFonts w:cstheme="majorHAnsi"/>
          <w:sz w:val="24"/>
          <w:szCs w:val="24"/>
        </w:rPr>
        <w:t>”</w:t>
      </w:r>
      <w:r w:rsidRPr="00011AC5">
        <w:rPr>
          <w:rFonts w:cstheme="majorHAnsi"/>
          <w:sz w:val="24"/>
          <w:szCs w:val="24"/>
        </w:rPr>
        <w:t xml:space="preserve"> as a first language reaching a good level of development (GLD) was statistically significantly lower than pupils with English as a first language</w:t>
      </w:r>
      <w:r w:rsidR="00684A89">
        <w:rPr>
          <w:rFonts w:cstheme="majorHAnsi"/>
          <w:sz w:val="24"/>
          <w:szCs w:val="24"/>
        </w:rPr>
        <w:t>.</w:t>
      </w:r>
      <w:r w:rsidRPr="00011AC5">
        <w:rPr>
          <w:rFonts w:cstheme="majorHAnsi"/>
          <w:sz w:val="24"/>
          <w:szCs w:val="24"/>
        </w:rPr>
        <w:t xml:space="preserve"> </w:t>
      </w:r>
    </w:p>
    <w:p w14:paraId="39164B24" w14:textId="77777777" w:rsidR="00674CBB" w:rsidRDefault="00674CBB">
      <w:pPr>
        <w:spacing w:after="160" w:line="259" w:lineRule="auto"/>
        <w:rPr>
          <w:rFonts w:eastAsiaTheme="minorHAnsi" w:cs="Arial"/>
          <w:color w:val="000000"/>
          <w:sz w:val="24"/>
          <w:szCs w:val="24"/>
        </w:rPr>
      </w:pPr>
      <w:r>
        <w:br w:type="page"/>
      </w:r>
    </w:p>
    <w:p w14:paraId="2AAB2B2E" w14:textId="59C3E22E" w:rsidR="00817CEC" w:rsidRPr="00580BD2" w:rsidRDefault="00817CEC" w:rsidP="00817CEC">
      <w:pPr>
        <w:pStyle w:val="Default"/>
        <w:rPr>
          <w:rFonts w:asciiTheme="minorHAnsi" w:hAnsiTheme="minorHAnsi"/>
        </w:rPr>
      </w:pPr>
      <w:r w:rsidRPr="00674CBB">
        <w:rPr>
          <w:rFonts w:asciiTheme="minorHAnsi" w:hAnsiTheme="minorHAnsi"/>
          <w:b/>
        </w:rPr>
        <w:t xml:space="preserve">Figure </w:t>
      </w:r>
      <w:r w:rsidR="00674CBB" w:rsidRPr="00674CBB">
        <w:rPr>
          <w:rFonts w:asciiTheme="minorHAnsi" w:hAnsiTheme="minorHAnsi"/>
          <w:b/>
        </w:rPr>
        <w:t>2.12</w:t>
      </w:r>
      <w:r w:rsidR="00D05BB1">
        <w:rPr>
          <w:rFonts w:asciiTheme="minorHAnsi" w:hAnsiTheme="minorHAnsi"/>
          <w:b/>
        </w:rPr>
        <w:t>:</w:t>
      </w:r>
      <w:r w:rsidR="00674CBB" w:rsidRPr="00674CBB">
        <w:rPr>
          <w:rFonts w:asciiTheme="minorHAnsi" w:hAnsiTheme="minorHAnsi"/>
          <w:b/>
        </w:rPr>
        <w:t xml:space="preserve"> </w:t>
      </w:r>
      <w:r w:rsidR="00674CBB" w:rsidRPr="00674CBB">
        <w:rPr>
          <w:rFonts w:asciiTheme="minorHAnsi" w:hAnsiTheme="minorHAnsi"/>
          <w:b/>
          <w:bCs/>
        </w:rPr>
        <w:t>Proportion</w:t>
      </w:r>
      <w:r w:rsidR="00674CBB">
        <w:rPr>
          <w:rFonts w:asciiTheme="minorHAnsi" w:hAnsiTheme="minorHAnsi"/>
          <w:b/>
          <w:bCs/>
        </w:rPr>
        <w:t xml:space="preserve"> of f</w:t>
      </w:r>
      <w:r w:rsidR="00674CBB" w:rsidRPr="00674CBB">
        <w:rPr>
          <w:rFonts w:asciiTheme="minorHAnsi" w:hAnsiTheme="minorHAnsi"/>
          <w:b/>
          <w:bCs/>
        </w:rPr>
        <w:t xml:space="preserve">emale </w:t>
      </w:r>
      <w:r w:rsidR="00674CBB">
        <w:rPr>
          <w:rFonts w:asciiTheme="minorHAnsi" w:hAnsiTheme="minorHAnsi"/>
          <w:b/>
          <w:bCs/>
        </w:rPr>
        <w:t>p</w:t>
      </w:r>
      <w:r w:rsidR="00674CBB" w:rsidRPr="00674CBB">
        <w:rPr>
          <w:rFonts w:asciiTheme="minorHAnsi" w:hAnsiTheme="minorHAnsi"/>
          <w:b/>
          <w:bCs/>
        </w:rPr>
        <w:t xml:space="preserve">upils </w:t>
      </w:r>
      <w:r w:rsidR="00674CBB">
        <w:rPr>
          <w:rFonts w:asciiTheme="minorHAnsi" w:hAnsiTheme="minorHAnsi"/>
          <w:b/>
          <w:bCs/>
        </w:rPr>
        <w:t>r</w:t>
      </w:r>
      <w:r w:rsidR="00674CBB" w:rsidRPr="00674CBB">
        <w:rPr>
          <w:rFonts w:asciiTheme="minorHAnsi" w:hAnsiTheme="minorHAnsi"/>
          <w:b/>
          <w:bCs/>
        </w:rPr>
        <w:t xml:space="preserve">eaching a </w:t>
      </w:r>
      <w:r w:rsidR="00674CBB">
        <w:rPr>
          <w:rFonts w:asciiTheme="minorHAnsi" w:hAnsiTheme="minorHAnsi"/>
          <w:b/>
          <w:bCs/>
        </w:rPr>
        <w:t>g</w:t>
      </w:r>
      <w:r w:rsidR="00674CBB" w:rsidRPr="00674CBB">
        <w:rPr>
          <w:rFonts w:asciiTheme="minorHAnsi" w:hAnsiTheme="minorHAnsi"/>
          <w:b/>
          <w:bCs/>
        </w:rPr>
        <w:t xml:space="preserve">ood </w:t>
      </w:r>
      <w:r w:rsidR="00674CBB">
        <w:rPr>
          <w:rFonts w:asciiTheme="minorHAnsi" w:hAnsiTheme="minorHAnsi"/>
          <w:b/>
          <w:bCs/>
        </w:rPr>
        <w:t>l</w:t>
      </w:r>
      <w:r w:rsidR="00674CBB" w:rsidRPr="00674CBB">
        <w:rPr>
          <w:rFonts w:asciiTheme="minorHAnsi" w:hAnsiTheme="minorHAnsi"/>
          <w:b/>
          <w:bCs/>
        </w:rPr>
        <w:t xml:space="preserve">evel of </w:t>
      </w:r>
      <w:r w:rsidR="00674CBB">
        <w:rPr>
          <w:rFonts w:asciiTheme="minorHAnsi" w:hAnsiTheme="minorHAnsi"/>
          <w:b/>
          <w:bCs/>
        </w:rPr>
        <w:t>d</w:t>
      </w:r>
      <w:r w:rsidR="00674CBB" w:rsidRPr="00674CBB">
        <w:rPr>
          <w:rFonts w:asciiTheme="minorHAnsi" w:hAnsiTheme="minorHAnsi"/>
          <w:b/>
          <w:bCs/>
        </w:rPr>
        <w:t xml:space="preserve">evelopment </w:t>
      </w:r>
      <w:r w:rsidR="00674CBB">
        <w:rPr>
          <w:rFonts w:asciiTheme="minorHAnsi" w:hAnsiTheme="minorHAnsi"/>
          <w:b/>
          <w:bCs/>
        </w:rPr>
        <w:t>b</w:t>
      </w:r>
      <w:r w:rsidR="00674CBB" w:rsidRPr="00674CBB">
        <w:rPr>
          <w:rFonts w:asciiTheme="minorHAnsi" w:hAnsiTheme="minorHAnsi"/>
          <w:b/>
          <w:bCs/>
        </w:rPr>
        <w:t xml:space="preserve">y </w:t>
      </w:r>
      <w:r w:rsidR="00674CBB">
        <w:rPr>
          <w:rFonts w:asciiTheme="minorHAnsi" w:hAnsiTheme="minorHAnsi"/>
          <w:b/>
          <w:bCs/>
        </w:rPr>
        <w:t>f</w:t>
      </w:r>
      <w:r w:rsidR="00674CBB" w:rsidRPr="00674CBB">
        <w:rPr>
          <w:rFonts w:asciiTheme="minorHAnsi" w:hAnsiTheme="minorHAnsi"/>
          <w:b/>
          <w:bCs/>
        </w:rPr>
        <w:t xml:space="preserve">irst </w:t>
      </w:r>
      <w:r w:rsidR="00674CBB">
        <w:rPr>
          <w:rFonts w:asciiTheme="minorHAnsi" w:hAnsiTheme="minorHAnsi"/>
          <w:b/>
          <w:bCs/>
        </w:rPr>
        <w:t>l</w:t>
      </w:r>
      <w:r w:rsidR="00674CBB" w:rsidRPr="00674CBB">
        <w:rPr>
          <w:rFonts w:asciiTheme="minorHAnsi" w:hAnsiTheme="minorHAnsi"/>
          <w:b/>
          <w:bCs/>
        </w:rPr>
        <w:t>anguage 2017-9</w:t>
      </w:r>
    </w:p>
    <w:p w14:paraId="03A43CBC" w14:textId="77777777" w:rsidR="00817CEC" w:rsidRDefault="00817CEC" w:rsidP="00817CEC">
      <w:pPr>
        <w:rPr>
          <w:noProof/>
        </w:rPr>
      </w:pPr>
      <w:r>
        <w:rPr>
          <w:noProof/>
        </w:rPr>
        <w:drawing>
          <wp:inline distT="0" distB="0" distL="0" distR="0" wp14:anchorId="39B840E7" wp14:editId="709FAD26">
            <wp:extent cx="5662490" cy="3749675"/>
            <wp:effectExtent l="0" t="0" r="14605" b="3175"/>
            <wp:docPr id="204" name="Chart 204">
              <a:extLst xmlns:a="http://schemas.openxmlformats.org/drawingml/2006/main">
                <a:ext uri="{FF2B5EF4-FFF2-40B4-BE49-F238E27FC236}">
                  <a16:creationId xmlns:a16="http://schemas.microsoft.com/office/drawing/2014/main" id="{66FBDD6C-7DB8-486C-A6B2-7881A842D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BACED78" w14:textId="0C5D6FD8" w:rsidR="00817CEC" w:rsidRDefault="00674CBB" w:rsidP="00817CEC">
      <w:pPr>
        <w:pStyle w:val="Default"/>
        <w:rPr>
          <w:rFonts w:asciiTheme="minorHAnsi" w:hAnsiTheme="minorHAnsi"/>
          <w:b/>
        </w:rPr>
      </w:pPr>
      <w:r>
        <w:rPr>
          <w:rFonts w:asciiTheme="minorHAnsi" w:hAnsiTheme="minorHAnsi"/>
        </w:rPr>
        <w:br/>
      </w:r>
      <w:r w:rsidR="00817CEC" w:rsidRPr="00674CBB">
        <w:rPr>
          <w:rFonts w:asciiTheme="minorHAnsi" w:hAnsiTheme="minorHAnsi"/>
          <w:b/>
        </w:rPr>
        <w:t xml:space="preserve">Figure </w:t>
      </w:r>
      <w:r w:rsidRPr="00674CBB">
        <w:rPr>
          <w:rFonts w:asciiTheme="minorHAnsi" w:hAnsiTheme="minorHAnsi"/>
          <w:b/>
        </w:rPr>
        <w:t>2.13</w:t>
      </w:r>
      <w:r w:rsidR="00D05BB1">
        <w:rPr>
          <w:rFonts w:asciiTheme="minorHAnsi" w:hAnsiTheme="minorHAnsi"/>
          <w:b/>
        </w:rPr>
        <w:t>:</w:t>
      </w:r>
      <w:r w:rsidRPr="00674CBB">
        <w:rPr>
          <w:rFonts w:asciiTheme="minorHAnsi" w:hAnsiTheme="minorHAnsi"/>
          <w:b/>
        </w:rPr>
        <w:t xml:space="preserve"> </w:t>
      </w:r>
      <w:r w:rsidRPr="00674CBB">
        <w:rPr>
          <w:rFonts w:asciiTheme="minorHAnsi" w:hAnsiTheme="minorHAnsi"/>
          <w:b/>
          <w:bCs/>
        </w:rPr>
        <w:t xml:space="preserve">Proportion of </w:t>
      </w:r>
      <w:r>
        <w:rPr>
          <w:rFonts w:asciiTheme="minorHAnsi" w:hAnsiTheme="minorHAnsi"/>
          <w:b/>
          <w:bCs/>
        </w:rPr>
        <w:t>m</w:t>
      </w:r>
      <w:r w:rsidRPr="00674CBB">
        <w:rPr>
          <w:rFonts w:asciiTheme="minorHAnsi" w:hAnsiTheme="minorHAnsi"/>
          <w:b/>
          <w:bCs/>
        </w:rPr>
        <w:t xml:space="preserve">ale </w:t>
      </w:r>
      <w:r>
        <w:rPr>
          <w:rFonts w:asciiTheme="minorHAnsi" w:hAnsiTheme="minorHAnsi"/>
          <w:b/>
          <w:bCs/>
        </w:rPr>
        <w:t>p</w:t>
      </w:r>
      <w:r w:rsidRPr="00674CBB">
        <w:rPr>
          <w:rFonts w:asciiTheme="minorHAnsi" w:hAnsiTheme="minorHAnsi"/>
          <w:b/>
          <w:bCs/>
        </w:rPr>
        <w:t xml:space="preserve">upils </w:t>
      </w:r>
      <w:r>
        <w:rPr>
          <w:rFonts w:asciiTheme="minorHAnsi" w:hAnsiTheme="minorHAnsi"/>
          <w:b/>
          <w:bCs/>
        </w:rPr>
        <w:t>r</w:t>
      </w:r>
      <w:r w:rsidRPr="00674CBB">
        <w:rPr>
          <w:rFonts w:asciiTheme="minorHAnsi" w:hAnsiTheme="minorHAnsi"/>
          <w:b/>
          <w:bCs/>
        </w:rPr>
        <w:t xml:space="preserve">eaching a </w:t>
      </w:r>
      <w:r>
        <w:rPr>
          <w:rFonts w:asciiTheme="minorHAnsi" w:hAnsiTheme="minorHAnsi"/>
          <w:b/>
          <w:bCs/>
        </w:rPr>
        <w:t>g</w:t>
      </w:r>
      <w:r w:rsidRPr="00674CBB">
        <w:rPr>
          <w:rFonts w:asciiTheme="minorHAnsi" w:hAnsiTheme="minorHAnsi"/>
          <w:b/>
          <w:bCs/>
        </w:rPr>
        <w:t xml:space="preserve">ood </w:t>
      </w:r>
      <w:r>
        <w:rPr>
          <w:rFonts w:asciiTheme="minorHAnsi" w:hAnsiTheme="minorHAnsi"/>
          <w:b/>
          <w:bCs/>
        </w:rPr>
        <w:t>l</w:t>
      </w:r>
      <w:r w:rsidRPr="00674CBB">
        <w:rPr>
          <w:rFonts w:asciiTheme="minorHAnsi" w:hAnsiTheme="minorHAnsi"/>
          <w:b/>
          <w:bCs/>
        </w:rPr>
        <w:t xml:space="preserve">evel of </w:t>
      </w:r>
      <w:r>
        <w:rPr>
          <w:rFonts w:asciiTheme="minorHAnsi" w:hAnsiTheme="minorHAnsi"/>
          <w:b/>
          <w:bCs/>
        </w:rPr>
        <w:t>d</w:t>
      </w:r>
      <w:r w:rsidRPr="00674CBB">
        <w:rPr>
          <w:rFonts w:asciiTheme="minorHAnsi" w:hAnsiTheme="minorHAnsi"/>
          <w:b/>
          <w:bCs/>
        </w:rPr>
        <w:t xml:space="preserve">evelopment </w:t>
      </w:r>
      <w:r>
        <w:rPr>
          <w:rFonts w:asciiTheme="minorHAnsi" w:hAnsiTheme="minorHAnsi"/>
          <w:b/>
          <w:bCs/>
        </w:rPr>
        <w:t>b</w:t>
      </w:r>
      <w:r w:rsidRPr="00674CBB">
        <w:rPr>
          <w:rFonts w:asciiTheme="minorHAnsi" w:hAnsiTheme="minorHAnsi"/>
          <w:b/>
          <w:bCs/>
        </w:rPr>
        <w:t xml:space="preserve">y </w:t>
      </w:r>
      <w:r>
        <w:rPr>
          <w:rFonts w:asciiTheme="minorHAnsi" w:hAnsiTheme="minorHAnsi"/>
          <w:b/>
          <w:bCs/>
        </w:rPr>
        <w:t>f</w:t>
      </w:r>
      <w:r w:rsidRPr="00674CBB">
        <w:rPr>
          <w:rFonts w:asciiTheme="minorHAnsi" w:hAnsiTheme="minorHAnsi"/>
          <w:b/>
          <w:bCs/>
        </w:rPr>
        <w:t xml:space="preserve">irst </w:t>
      </w:r>
      <w:r>
        <w:rPr>
          <w:rFonts w:asciiTheme="minorHAnsi" w:hAnsiTheme="minorHAnsi"/>
          <w:b/>
          <w:bCs/>
        </w:rPr>
        <w:t>l</w:t>
      </w:r>
      <w:r w:rsidRPr="00674CBB">
        <w:rPr>
          <w:rFonts w:asciiTheme="minorHAnsi" w:hAnsiTheme="minorHAnsi"/>
          <w:b/>
          <w:bCs/>
        </w:rPr>
        <w:t>anguage 2017-9</w:t>
      </w:r>
    </w:p>
    <w:p w14:paraId="641EFE8A" w14:textId="77777777" w:rsidR="00817CEC" w:rsidRPr="000A2A3B" w:rsidRDefault="00817CEC" w:rsidP="00817CEC">
      <w:pPr>
        <w:rPr>
          <w:rFonts w:cstheme="majorHAnsi"/>
          <w:sz w:val="24"/>
          <w:szCs w:val="24"/>
        </w:rPr>
      </w:pPr>
      <w:r>
        <w:rPr>
          <w:noProof/>
        </w:rPr>
        <w:drawing>
          <wp:inline distT="0" distB="0" distL="0" distR="0" wp14:anchorId="218BED2D" wp14:editId="38C27F8B">
            <wp:extent cx="5686883" cy="3424555"/>
            <wp:effectExtent l="0" t="0" r="9525" b="4445"/>
            <wp:docPr id="205" name="Chart 205">
              <a:extLst xmlns:a="http://schemas.openxmlformats.org/drawingml/2006/main">
                <a:ext uri="{FF2B5EF4-FFF2-40B4-BE49-F238E27FC236}">
                  <a16:creationId xmlns:a16="http://schemas.microsoft.com/office/drawing/2014/main" id="{7182123B-F319-4817-960D-7E483B5CB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17EE58" w14:textId="77777777" w:rsidR="00817CEC" w:rsidRPr="00C11B00" w:rsidRDefault="00817CEC" w:rsidP="00817CEC">
      <w:pPr>
        <w:pStyle w:val="Heading1"/>
        <w:shd w:val="clear" w:color="auto" w:fill="FFFFFF"/>
        <w:spacing w:before="0" w:line="240" w:lineRule="auto"/>
        <w:textAlignment w:val="baseline"/>
        <w:rPr>
          <w:rFonts w:ascii="Calibri" w:eastAsia="Times New Roman" w:hAnsi="Calibri" w:cs="Calibri"/>
          <w:color w:val="000000" w:themeColor="text1"/>
          <w:sz w:val="24"/>
          <w:szCs w:val="24"/>
        </w:rPr>
      </w:pPr>
      <w:r w:rsidRPr="00D05BB1">
        <w:rPr>
          <w:rFonts w:ascii="Calibri" w:hAnsi="Calibri" w:cs="Calibri"/>
          <w:color w:val="000000" w:themeColor="text1"/>
          <w:sz w:val="24"/>
          <w:szCs w:val="24"/>
        </w:rPr>
        <w:t>Source:</w:t>
      </w:r>
      <w:r w:rsidRPr="00C11B00">
        <w:rPr>
          <w:rFonts w:ascii="Calibri" w:hAnsi="Calibri" w:cs="Calibri"/>
          <w:color w:val="000000" w:themeColor="text1"/>
          <w:sz w:val="24"/>
          <w:szCs w:val="24"/>
        </w:rPr>
        <w:t xml:space="preserve"> </w:t>
      </w:r>
      <w:r w:rsidRPr="00C11B00">
        <w:rPr>
          <w:rFonts w:ascii="Calibri" w:hAnsi="Calibri" w:cs="Calibri"/>
          <w:bCs/>
          <w:color w:val="000000" w:themeColor="text1"/>
          <w:sz w:val="24"/>
          <w:szCs w:val="24"/>
          <w:bdr w:val="none" w:sz="0" w:space="0" w:color="auto" w:frame="1"/>
          <w:shd w:val="clear" w:color="auto" w:fill="FFFFFF"/>
        </w:rPr>
        <w:t>Department for Education</w:t>
      </w:r>
      <w:r w:rsidRPr="00C11B00">
        <w:rPr>
          <w:rFonts w:ascii="Calibri" w:hAnsi="Calibri" w:cs="Calibri"/>
          <w:color w:val="000000" w:themeColor="text1"/>
          <w:sz w:val="24"/>
          <w:szCs w:val="24"/>
        </w:rPr>
        <w:t>, Early years foundation stage profile results: 201</w:t>
      </w:r>
      <w:r>
        <w:rPr>
          <w:rFonts w:ascii="Calibri" w:hAnsi="Calibri" w:cs="Calibri"/>
          <w:color w:val="000000" w:themeColor="text1"/>
          <w:sz w:val="24"/>
          <w:szCs w:val="24"/>
        </w:rPr>
        <w:t>7</w:t>
      </w:r>
      <w:r w:rsidRPr="00C11B00">
        <w:rPr>
          <w:rFonts w:ascii="Calibri" w:hAnsi="Calibri" w:cs="Calibri"/>
          <w:color w:val="000000" w:themeColor="text1"/>
          <w:sz w:val="24"/>
          <w:szCs w:val="24"/>
        </w:rPr>
        <w:t xml:space="preserve"> to 2019</w:t>
      </w:r>
    </w:p>
    <w:p w14:paraId="751F6342" w14:textId="77777777" w:rsidR="00817CEC" w:rsidRDefault="00817CEC" w:rsidP="00817CEC">
      <w:pPr>
        <w:rPr>
          <w:rFonts w:cstheme="majorHAnsi"/>
          <w:sz w:val="24"/>
          <w:szCs w:val="24"/>
        </w:rPr>
      </w:pPr>
    </w:p>
    <w:p w14:paraId="502FCB25" w14:textId="787C25AE" w:rsidR="00817CEC" w:rsidRPr="00011AC5" w:rsidRDefault="00817CEC" w:rsidP="00B13D4A">
      <w:pPr>
        <w:pStyle w:val="ListParagraph"/>
        <w:numPr>
          <w:ilvl w:val="0"/>
          <w:numId w:val="29"/>
        </w:numPr>
        <w:ind w:left="993" w:hanging="426"/>
        <w:rPr>
          <w:rFonts w:eastAsia="Times New Roman" w:cstheme="majorHAnsi"/>
          <w:color w:val="333333"/>
          <w:sz w:val="24"/>
          <w:szCs w:val="24"/>
          <w:lang w:eastAsia="en-GB"/>
        </w:rPr>
      </w:pPr>
      <w:r w:rsidRPr="00752ECE">
        <w:rPr>
          <w:rFonts w:cstheme="minorHAnsi"/>
          <w:sz w:val="24"/>
          <w:szCs w:val="24"/>
        </w:rPr>
        <w:t xml:space="preserve">A statistically significantly lower proportion of </w:t>
      </w:r>
      <w:r>
        <w:rPr>
          <w:rFonts w:cstheme="minorHAnsi"/>
          <w:sz w:val="24"/>
          <w:szCs w:val="24"/>
        </w:rPr>
        <w:t xml:space="preserve">both </w:t>
      </w:r>
      <w:r w:rsidR="00674CBB">
        <w:rPr>
          <w:rFonts w:cstheme="minorHAnsi"/>
          <w:sz w:val="24"/>
          <w:szCs w:val="24"/>
        </w:rPr>
        <w:t>m</w:t>
      </w:r>
      <w:r>
        <w:rPr>
          <w:rFonts w:cstheme="minorHAnsi"/>
          <w:sz w:val="24"/>
          <w:szCs w:val="24"/>
        </w:rPr>
        <w:t xml:space="preserve">ale and </w:t>
      </w:r>
      <w:r w:rsidR="00674CBB">
        <w:rPr>
          <w:rFonts w:cstheme="minorHAnsi"/>
          <w:sz w:val="24"/>
          <w:szCs w:val="24"/>
        </w:rPr>
        <w:t>f</w:t>
      </w:r>
      <w:r>
        <w:rPr>
          <w:rFonts w:cstheme="minorHAnsi"/>
          <w:sz w:val="24"/>
          <w:szCs w:val="24"/>
        </w:rPr>
        <w:t xml:space="preserve">emale </w:t>
      </w:r>
      <w:r w:rsidRPr="00752ECE">
        <w:rPr>
          <w:rFonts w:cstheme="minorHAnsi"/>
          <w:sz w:val="24"/>
          <w:szCs w:val="24"/>
        </w:rPr>
        <w:t xml:space="preserve">pupils </w:t>
      </w:r>
      <w:r>
        <w:rPr>
          <w:rFonts w:cstheme="minorHAnsi"/>
          <w:sz w:val="24"/>
          <w:szCs w:val="24"/>
        </w:rPr>
        <w:t xml:space="preserve">whose first language was </w:t>
      </w:r>
      <w:r w:rsidR="00674CBB">
        <w:rPr>
          <w:rFonts w:cstheme="minorHAnsi"/>
          <w:sz w:val="24"/>
          <w:szCs w:val="24"/>
        </w:rPr>
        <w:t>“</w:t>
      </w:r>
      <w:r>
        <w:rPr>
          <w:rFonts w:cstheme="minorHAnsi"/>
          <w:sz w:val="24"/>
          <w:szCs w:val="24"/>
        </w:rPr>
        <w:t>Other Language</w:t>
      </w:r>
      <w:r w:rsidR="00674CBB">
        <w:rPr>
          <w:rFonts w:cstheme="minorHAnsi"/>
          <w:sz w:val="24"/>
          <w:szCs w:val="24"/>
        </w:rPr>
        <w:t>”</w:t>
      </w:r>
      <w:r>
        <w:rPr>
          <w:rFonts w:cstheme="minorHAnsi"/>
          <w:sz w:val="24"/>
          <w:szCs w:val="24"/>
        </w:rPr>
        <w:t xml:space="preserve"> </w:t>
      </w:r>
      <w:r w:rsidRPr="00752ECE">
        <w:rPr>
          <w:rFonts w:cstheme="minorHAnsi"/>
          <w:sz w:val="24"/>
          <w:szCs w:val="24"/>
        </w:rPr>
        <w:t>reached a good level of development in Sandwell</w:t>
      </w:r>
      <w:r>
        <w:rPr>
          <w:rFonts w:cstheme="minorHAnsi"/>
          <w:sz w:val="24"/>
          <w:szCs w:val="24"/>
        </w:rPr>
        <w:t>, the West Midlands region and England</w:t>
      </w:r>
      <w:r w:rsidRPr="00752ECE">
        <w:rPr>
          <w:rFonts w:cstheme="minorHAnsi"/>
          <w:sz w:val="24"/>
          <w:szCs w:val="24"/>
        </w:rPr>
        <w:t xml:space="preserve"> than </w:t>
      </w:r>
      <w:r>
        <w:rPr>
          <w:rFonts w:cstheme="minorHAnsi"/>
          <w:sz w:val="24"/>
          <w:szCs w:val="24"/>
        </w:rPr>
        <w:t>pupils whose first language was English</w:t>
      </w:r>
      <w:r w:rsidR="002C2170">
        <w:rPr>
          <w:rFonts w:cstheme="minorHAnsi"/>
          <w:sz w:val="24"/>
          <w:szCs w:val="24"/>
        </w:rPr>
        <w:t>.</w:t>
      </w:r>
      <w:r>
        <w:rPr>
          <w:rFonts w:cstheme="minorHAnsi"/>
          <w:sz w:val="24"/>
          <w:szCs w:val="24"/>
        </w:rPr>
        <w:t xml:space="preserve"> </w:t>
      </w:r>
    </w:p>
    <w:p w14:paraId="1E2E087E" w14:textId="09459FD0" w:rsidR="00817CEC" w:rsidRPr="00B575AA" w:rsidRDefault="0006334D" w:rsidP="00817CEC">
      <w:pPr>
        <w:pStyle w:val="Default"/>
        <w:rPr>
          <w:rFonts w:asciiTheme="minorHAnsi" w:hAnsiTheme="minorHAnsi"/>
        </w:rPr>
      </w:pPr>
      <w:r>
        <w:rPr>
          <w:rFonts w:asciiTheme="minorHAnsi" w:hAnsiTheme="minorHAnsi"/>
        </w:rPr>
        <w:br/>
      </w:r>
      <w:r w:rsidR="00817CEC" w:rsidRPr="0006334D">
        <w:rPr>
          <w:rFonts w:asciiTheme="minorHAnsi" w:hAnsiTheme="minorHAnsi"/>
          <w:b/>
        </w:rPr>
        <w:t xml:space="preserve">Figure </w:t>
      </w:r>
      <w:r w:rsidRPr="0006334D">
        <w:rPr>
          <w:rFonts w:asciiTheme="minorHAnsi" w:hAnsiTheme="minorHAnsi"/>
          <w:b/>
        </w:rPr>
        <w:t>2</w:t>
      </w:r>
      <w:r w:rsidR="00817CEC" w:rsidRPr="0006334D">
        <w:rPr>
          <w:rFonts w:asciiTheme="minorHAnsi" w:hAnsiTheme="minorHAnsi"/>
          <w:b/>
        </w:rPr>
        <w:t>.</w:t>
      </w:r>
      <w:r w:rsidRPr="0006334D">
        <w:rPr>
          <w:rFonts w:asciiTheme="minorHAnsi" w:hAnsiTheme="minorHAnsi"/>
          <w:b/>
        </w:rPr>
        <w:t>14</w:t>
      </w:r>
      <w:r w:rsidR="00D05BB1">
        <w:rPr>
          <w:rFonts w:asciiTheme="minorHAnsi" w:hAnsiTheme="minorHAnsi"/>
          <w:b/>
        </w:rPr>
        <w:t>:</w:t>
      </w:r>
      <w:r>
        <w:rPr>
          <w:rFonts w:asciiTheme="minorHAnsi" w:hAnsiTheme="minorHAnsi"/>
        </w:rPr>
        <w:t xml:space="preserve"> </w:t>
      </w:r>
      <w:r w:rsidRPr="0006334D">
        <w:rPr>
          <w:rFonts w:asciiTheme="minorHAnsi" w:hAnsiTheme="minorHAnsi"/>
          <w:b/>
          <w:bCs/>
        </w:rPr>
        <w:t xml:space="preserve">Proportion of </w:t>
      </w:r>
      <w:r>
        <w:rPr>
          <w:rFonts w:asciiTheme="minorHAnsi" w:hAnsiTheme="minorHAnsi"/>
          <w:b/>
          <w:bCs/>
        </w:rPr>
        <w:t>p</w:t>
      </w:r>
      <w:r w:rsidRPr="0006334D">
        <w:rPr>
          <w:rFonts w:asciiTheme="minorHAnsi" w:hAnsiTheme="minorHAnsi"/>
          <w:b/>
          <w:bCs/>
        </w:rPr>
        <w:t xml:space="preserve">upils </w:t>
      </w:r>
      <w:r>
        <w:rPr>
          <w:rFonts w:asciiTheme="minorHAnsi" w:hAnsiTheme="minorHAnsi"/>
          <w:b/>
          <w:bCs/>
        </w:rPr>
        <w:t>r</w:t>
      </w:r>
      <w:r w:rsidRPr="0006334D">
        <w:rPr>
          <w:rFonts w:asciiTheme="minorHAnsi" w:hAnsiTheme="minorHAnsi"/>
          <w:b/>
          <w:bCs/>
        </w:rPr>
        <w:t xml:space="preserve">eaching a </w:t>
      </w:r>
      <w:r>
        <w:rPr>
          <w:rFonts w:asciiTheme="minorHAnsi" w:hAnsiTheme="minorHAnsi"/>
          <w:b/>
          <w:bCs/>
        </w:rPr>
        <w:t>g</w:t>
      </w:r>
      <w:r w:rsidRPr="0006334D">
        <w:rPr>
          <w:rFonts w:asciiTheme="minorHAnsi" w:hAnsiTheme="minorHAnsi"/>
          <w:b/>
          <w:bCs/>
        </w:rPr>
        <w:t xml:space="preserve">ood </w:t>
      </w:r>
      <w:r>
        <w:rPr>
          <w:rFonts w:asciiTheme="minorHAnsi" w:hAnsiTheme="minorHAnsi"/>
          <w:b/>
          <w:bCs/>
        </w:rPr>
        <w:t>l</w:t>
      </w:r>
      <w:r w:rsidRPr="0006334D">
        <w:rPr>
          <w:rFonts w:asciiTheme="minorHAnsi" w:hAnsiTheme="minorHAnsi"/>
          <w:b/>
          <w:bCs/>
        </w:rPr>
        <w:t xml:space="preserve">evel of </w:t>
      </w:r>
      <w:r>
        <w:rPr>
          <w:rFonts w:asciiTheme="minorHAnsi" w:hAnsiTheme="minorHAnsi"/>
          <w:b/>
          <w:bCs/>
        </w:rPr>
        <w:t>d</w:t>
      </w:r>
      <w:r w:rsidRPr="0006334D">
        <w:rPr>
          <w:rFonts w:asciiTheme="minorHAnsi" w:hAnsiTheme="minorHAnsi"/>
          <w:b/>
          <w:bCs/>
        </w:rPr>
        <w:t xml:space="preserve">evelopment </w:t>
      </w:r>
      <w:r>
        <w:rPr>
          <w:rFonts w:asciiTheme="minorHAnsi" w:hAnsiTheme="minorHAnsi"/>
          <w:b/>
          <w:bCs/>
        </w:rPr>
        <w:t>w</w:t>
      </w:r>
      <w:r w:rsidRPr="0006334D">
        <w:rPr>
          <w:rFonts w:asciiTheme="minorHAnsi" w:hAnsiTheme="minorHAnsi"/>
          <w:b/>
          <w:bCs/>
        </w:rPr>
        <w:t xml:space="preserve">ith and </w:t>
      </w:r>
      <w:r>
        <w:rPr>
          <w:rFonts w:asciiTheme="minorHAnsi" w:hAnsiTheme="minorHAnsi"/>
          <w:b/>
          <w:bCs/>
        </w:rPr>
        <w:t>w</w:t>
      </w:r>
      <w:r w:rsidRPr="0006334D">
        <w:rPr>
          <w:rFonts w:asciiTheme="minorHAnsi" w:hAnsiTheme="minorHAnsi"/>
          <w:b/>
          <w:bCs/>
        </w:rPr>
        <w:t xml:space="preserve">ithout </w:t>
      </w:r>
      <w:r>
        <w:rPr>
          <w:rFonts w:asciiTheme="minorHAnsi" w:hAnsiTheme="minorHAnsi"/>
          <w:b/>
          <w:bCs/>
        </w:rPr>
        <w:t>s</w:t>
      </w:r>
      <w:r w:rsidRPr="0006334D">
        <w:rPr>
          <w:rFonts w:asciiTheme="minorHAnsi" w:hAnsiTheme="minorHAnsi"/>
          <w:b/>
          <w:bCs/>
        </w:rPr>
        <w:t xml:space="preserve">pecial </w:t>
      </w:r>
      <w:r>
        <w:rPr>
          <w:rFonts w:asciiTheme="minorHAnsi" w:hAnsiTheme="minorHAnsi"/>
          <w:b/>
          <w:bCs/>
        </w:rPr>
        <w:t>e</w:t>
      </w:r>
      <w:r w:rsidRPr="0006334D">
        <w:rPr>
          <w:rFonts w:asciiTheme="minorHAnsi" w:hAnsiTheme="minorHAnsi"/>
          <w:b/>
          <w:bCs/>
        </w:rPr>
        <w:t xml:space="preserve">ducational </w:t>
      </w:r>
      <w:r>
        <w:rPr>
          <w:rFonts w:asciiTheme="minorHAnsi" w:hAnsiTheme="minorHAnsi"/>
          <w:b/>
          <w:bCs/>
        </w:rPr>
        <w:t>n</w:t>
      </w:r>
      <w:r w:rsidRPr="0006334D">
        <w:rPr>
          <w:rFonts w:asciiTheme="minorHAnsi" w:hAnsiTheme="minorHAnsi"/>
          <w:b/>
          <w:bCs/>
        </w:rPr>
        <w:t>eeds (SEN)</w:t>
      </w:r>
      <w:r>
        <w:rPr>
          <w:rFonts w:asciiTheme="minorHAnsi" w:hAnsiTheme="minorHAnsi"/>
          <w:b/>
          <w:bCs/>
        </w:rPr>
        <w:t xml:space="preserve"> </w:t>
      </w:r>
      <w:r w:rsidRPr="0006334D">
        <w:rPr>
          <w:rFonts w:asciiTheme="minorHAnsi" w:hAnsiTheme="minorHAnsi"/>
          <w:b/>
          <w:bCs/>
        </w:rPr>
        <w:t>-</w:t>
      </w:r>
      <w:r>
        <w:rPr>
          <w:rFonts w:asciiTheme="minorHAnsi" w:hAnsiTheme="minorHAnsi"/>
          <w:b/>
          <w:bCs/>
        </w:rPr>
        <w:t xml:space="preserve"> </w:t>
      </w:r>
      <w:r w:rsidRPr="0006334D">
        <w:rPr>
          <w:rFonts w:asciiTheme="minorHAnsi" w:hAnsiTheme="minorHAnsi"/>
          <w:b/>
          <w:bCs/>
        </w:rPr>
        <w:t>2017-9</w:t>
      </w:r>
    </w:p>
    <w:p w14:paraId="4E887197" w14:textId="77777777" w:rsidR="00817CEC" w:rsidRDefault="00817CEC" w:rsidP="00817CEC">
      <w:pPr>
        <w:pStyle w:val="Default"/>
        <w:rPr>
          <w:rFonts w:asciiTheme="minorHAnsi" w:hAnsiTheme="minorHAnsi"/>
          <w:b/>
        </w:rPr>
      </w:pPr>
      <w:r>
        <w:rPr>
          <w:noProof/>
        </w:rPr>
        <w:drawing>
          <wp:inline distT="0" distB="0" distL="0" distR="0" wp14:anchorId="4C2ECE72" wp14:editId="18A3D156">
            <wp:extent cx="5731510" cy="3398520"/>
            <wp:effectExtent l="0" t="0" r="2540" b="11430"/>
            <wp:docPr id="206" name="Chart 206">
              <a:extLst xmlns:a="http://schemas.openxmlformats.org/drawingml/2006/main">
                <a:ext uri="{FF2B5EF4-FFF2-40B4-BE49-F238E27FC236}">
                  <a16:creationId xmlns:a16="http://schemas.microsoft.com/office/drawing/2014/main" id="{964DD3F4-8A13-4E42-A6BE-0053F46AD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37A8CCA" w14:textId="77777777" w:rsidR="00817CEC" w:rsidRDefault="00817CEC" w:rsidP="00817CEC">
      <w:pPr>
        <w:pStyle w:val="Heading1"/>
        <w:shd w:val="clear" w:color="auto" w:fill="FFFFFF"/>
        <w:spacing w:before="0" w:line="240" w:lineRule="auto"/>
        <w:textAlignment w:val="baseline"/>
        <w:rPr>
          <w:rFonts w:ascii="Calibri" w:hAnsi="Calibri" w:cs="Calibri"/>
          <w:color w:val="000000" w:themeColor="text1"/>
          <w:sz w:val="24"/>
          <w:szCs w:val="24"/>
        </w:rPr>
      </w:pPr>
      <w:r w:rsidRPr="0006334D">
        <w:rPr>
          <w:rFonts w:ascii="Calibri" w:hAnsi="Calibri" w:cs="Calibri"/>
          <w:color w:val="000000" w:themeColor="text1"/>
          <w:sz w:val="24"/>
          <w:szCs w:val="24"/>
        </w:rPr>
        <w:t>Source:</w:t>
      </w:r>
      <w:r w:rsidRPr="00C11B00">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Derived from the </w:t>
      </w:r>
      <w:r w:rsidRPr="00C11B00">
        <w:rPr>
          <w:rFonts w:ascii="Calibri" w:hAnsi="Calibri" w:cs="Calibri"/>
          <w:bCs/>
          <w:color w:val="000000" w:themeColor="text1"/>
          <w:sz w:val="24"/>
          <w:szCs w:val="24"/>
          <w:bdr w:val="none" w:sz="0" w:space="0" w:color="auto" w:frame="1"/>
          <w:shd w:val="clear" w:color="auto" w:fill="FFFFFF"/>
        </w:rPr>
        <w:t>Department for Education</w:t>
      </w:r>
      <w:r w:rsidRPr="00C11B00">
        <w:rPr>
          <w:rFonts w:ascii="Calibri" w:hAnsi="Calibri" w:cs="Calibri"/>
          <w:color w:val="000000" w:themeColor="text1"/>
          <w:sz w:val="24"/>
          <w:szCs w:val="24"/>
        </w:rPr>
        <w:t>, Early years foundation stage profile results: 201</w:t>
      </w:r>
      <w:r>
        <w:rPr>
          <w:rFonts w:ascii="Calibri" w:hAnsi="Calibri" w:cs="Calibri"/>
          <w:color w:val="000000" w:themeColor="text1"/>
          <w:sz w:val="24"/>
          <w:szCs w:val="24"/>
        </w:rPr>
        <w:t>7</w:t>
      </w:r>
      <w:r w:rsidRPr="00C11B00">
        <w:rPr>
          <w:rFonts w:ascii="Calibri" w:hAnsi="Calibri" w:cs="Calibri"/>
          <w:color w:val="000000" w:themeColor="text1"/>
          <w:sz w:val="24"/>
          <w:szCs w:val="24"/>
        </w:rPr>
        <w:t xml:space="preserve"> to 2019</w:t>
      </w:r>
      <w:r>
        <w:rPr>
          <w:rFonts w:ascii="Calibri" w:hAnsi="Calibri" w:cs="Calibri"/>
          <w:color w:val="000000" w:themeColor="text1"/>
          <w:sz w:val="24"/>
          <w:szCs w:val="24"/>
        </w:rPr>
        <w:t xml:space="preserve"> </w:t>
      </w:r>
    </w:p>
    <w:p w14:paraId="6F78008A" w14:textId="77777777" w:rsidR="00817CEC" w:rsidRPr="00C11B00" w:rsidRDefault="00817CEC" w:rsidP="00817CEC"/>
    <w:p w14:paraId="69B9A232" w14:textId="7A880914" w:rsidR="00817CEC" w:rsidRPr="00684A89" w:rsidRDefault="00817CEC" w:rsidP="00B13D4A">
      <w:pPr>
        <w:pStyle w:val="ListParagraph"/>
        <w:numPr>
          <w:ilvl w:val="0"/>
          <w:numId w:val="28"/>
        </w:numPr>
        <w:ind w:left="714" w:hanging="357"/>
        <w:contextualSpacing w:val="0"/>
        <w:rPr>
          <w:rFonts w:cstheme="minorHAnsi"/>
          <w:sz w:val="24"/>
          <w:szCs w:val="24"/>
        </w:rPr>
      </w:pPr>
      <w:r w:rsidRPr="00684A89">
        <w:rPr>
          <w:rFonts w:cstheme="minorHAnsi"/>
          <w:sz w:val="24"/>
          <w:szCs w:val="24"/>
        </w:rPr>
        <w:t xml:space="preserve">A statistically significantly lower proportion of pupils with </w:t>
      </w:r>
      <w:r w:rsidR="0006334D" w:rsidRPr="00684A89">
        <w:rPr>
          <w:rFonts w:cstheme="minorHAnsi"/>
          <w:sz w:val="24"/>
          <w:szCs w:val="24"/>
        </w:rPr>
        <w:t>n</w:t>
      </w:r>
      <w:r w:rsidRPr="00684A89">
        <w:rPr>
          <w:rFonts w:cstheme="minorHAnsi"/>
          <w:sz w:val="24"/>
          <w:szCs w:val="24"/>
        </w:rPr>
        <w:t>o Special Educational Needs (SEN) reached a good level of development in Sandwell (72.3%) than the West Midlands region (75.8%) and England (77.2%)</w:t>
      </w:r>
      <w:r w:rsidR="0006334D" w:rsidRPr="00684A89">
        <w:rPr>
          <w:rFonts w:cstheme="minorHAnsi"/>
          <w:sz w:val="24"/>
          <w:szCs w:val="24"/>
        </w:rPr>
        <w:t>.</w:t>
      </w:r>
    </w:p>
    <w:p w14:paraId="65F1C9FB" w14:textId="4963D2BB" w:rsidR="00817CEC" w:rsidRPr="00684A89" w:rsidRDefault="00817CEC" w:rsidP="00B13D4A">
      <w:pPr>
        <w:pStyle w:val="ListParagraph"/>
        <w:numPr>
          <w:ilvl w:val="0"/>
          <w:numId w:val="28"/>
        </w:numPr>
        <w:ind w:left="714" w:hanging="357"/>
        <w:contextualSpacing w:val="0"/>
        <w:rPr>
          <w:b/>
          <w:sz w:val="24"/>
          <w:szCs w:val="24"/>
        </w:rPr>
      </w:pPr>
      <w:r w:rsidRPr="00684A89">
        <w:rPr>
          <w:rFonts w:cstheme="minorHAnsi"/>
          <w:sz w:val="24"/>
          <w:szCs w:val="24"/>
        </w:rPr>
        <w:t xml:space="preserve">The proportion of pupils with SEN Support, a SEN Statement or an </w:t>
      </w:r>
      <w:r w:rsidRPr="00684A89">
        <w:rPr>
          <w:rFonts w:cs="Arial"/>
          <w:color w:val="0B0C0C"/>
          <w:sz w:val="24"/>
          <w:szCs w:val="24"/>
          <w:shd w:val="clear" w:color="auto" w:fill="FFFFFF"/>
        </w:rPr>
        <w:t xml:space="preserve">Education, Health and Care (EHC) plans in Sandwell </w:t>
      </w:r>
      <w:r w:rsidRPr="00684A89">
        <w:rPr>
          <w:rFonts w:cstheme="minorHAnsi"/>
          <w:sz w:val="24"/>
          <w:szCs w:val="24"/>
        </w:rPr>
        <w:t xml:space="preserve">(23.8%) reaching a good level of development </w:t>
      </w:r>
      <w:r w:rsidRPr="00684A89">
        <w:rPr>
          <w:rFonts w:cs="Arial"/>
          <w:color w:val="0B0C0C"/>
          <w:sz w:val="24"/>
          <w:szCs w:val="24"/>
          <w:shd w:val="clear" w:color="auto" w:fill="FFFFFF"/>
        </w:rPr>
        <w:t>was statistically no different than</w:t>
      </w:r>
      <w:r w:rsidRPr="00684A89">
        <w:rPr>
          <w:rFonts w:cstheme="minorHAnsi"/>
          <w:sz w:val="24"/>
          <w:szCs w:val="24"/>
        </w:rPr>
        <w:t xml:space="preserve"> the West Midlands region (23.1%) and England (24.4%)</w:t>
      </w:r>
      <w:r w:rsidR="0006334D" w:rsidRPr="00684A89">
        <w:rPr>
          <w:rFonts w:cstheme="minorHAnsi"/>
          <w:sz w:val="24"/>
          <w:szCs w:val="24"/>
        </w:rPr>
        <w:t>.</w:t>
      </w:r>
      <w:r w:rsidRPr="00684A89">
        <w:rPr>
          <w:rFonts w:cstheme="minorHAnsi"/>
          <w:sz w:val="24"/>
          <w:szCs w:val="24"/>
        </w:rPr>
        <w:t xml:space="preserve"> </w:t>
      </w:r>
    </w:p>
    <w:p w14:paraId="16A4B802" w14:textId="27CA58B2" w:rsidR="0006334D" w:rsidRDefault="0006334D" w:rsidP="00B13D4A">
      <w:pPr>
        <w:pStyle w:val="Default"/>
        <w:numPr>
          <w:ilvl w:val="0"/>
          <w:numId w:val="28"/>
        </w:numPr>
        <w:rPr>
          <w:rFonts w:asciiTheme="minorHAnsi" w:hAnsiTheme="minorHAnsi" w:cstheme="minorHAnsi"/>
        </w:rPr>
      </w:pPr>
      <w:r w:rsidRPr="00684A89">
        <w:rPr>
          <w:rFonts w:asciiTheme="minorHAnsi" w:hAnsiTheme="minorHAnsi"/>
        </w:rPr>
        <w:t xml:space="preserve">A statistically significantly higher percentage of female pupils reach a </w:t>
      </w:r>
      <w:r w:rsidRPr="00684A89">
        <w:rPr>
          <w:rFonts w:asciiTheme="minorHAnsi" w:hAnsiTheme="minorHAnsi" w:cstheme="minorHAnsi"/>
        </w:rPr>
        <w:t xml:space="preserve">good level of development than </w:t>
      </w:r>
      <w:r w:rsidRPr="00684A89">
        <w:rPr>
          <w:rFonts w:asciiTheme="minorHAnsi" w:hAnsiTheme="minorHAnsi"/>
        </w:rPr>
        <w:t>male pupils</w:t>
      </w:r>
      <w:r w:rsidRPr="00684A89">
        <w:rPr>
          <w:rFonts w:asciiTheme="minorHAnsi" w:hAnsiTheme="minorHAnsi" w:cstheme="minorHAnsi"/>
        </w:rPr>
        <w:t xml:space="preserve"> in Sandwell, the West Midlands region and England with and without</w:t>
      </w:r>
      <w:r>
        <w:rPr>
          <w:rFonts w:asciiTheme="minorHAnsi" w:hAnsiTheme="minorHAnsi" w:cstheme="minorHAnsi"/>
        </w:rPr>
        <w:t xml:space="preserve"> </w:t>
      </w:r>
      <w:r w:rsidRPr="0080764A">
        <w:rPr>
          <w:rFonts w:asciiTheme="minorHAnsi" w:hAnsiTheme="minorHAnsi" w:cstheme="minorHAnsi"/>
        </w:rPr>
        <w:t>Special Education Needs</w:t>
      </w:r>
      <w:r>
        <w:rPr>
          <w:rFonts w:asciiTheme="minorHAnsi" w:hAnsiTheme="minorHAnsi" w:cstheme="minorHAnsi"/>
        </w:rPr>
        <w:t>.</w:t>
      </w:r>
    </w:p>
    <w:p w14:paraId="145E8726" w14:textId="77777777" w:rsidR="0006334D" w:rsidRPr="00D431C3" w:rsidRDefault="0006334D" w:rsidP="0006334D">
      <w:pPr>
        <w:pStyle w:val="ListParagraph"/>
        <w:ind w:left="714"/>
        <w:contextualSpacing w:val="0"/>
        <w:rPr>
          <w:b/>
        </w:rPr>
      </w:pPr>
    </w:p>
    <w:p w14:paraId="5C8D989A" w14:textId="77777777" w:rsidR="00817CEC" w:rsidRDefault="00817CEC" w:rsidP="00817CEC">
      <w:pPr>
        <w:pStyle w:val="Default"/>
        <w:rPr>
          <w:rFonts w:asciiTheme="minorHAnsi" w:hAnsiTheme="minorHAnsi"/>
          <w:b/>
        </w:rPr>
      </w:pPr>
    </w:p>
    <w:p w14:paraId="3F2436F1" w14:textId="77777777" w:rsidR="00817CEC" w:rsidRDefault="00817CEC" w:rsidP="00817CEC">
      <w:pPr>
        <w:pStyle w:val="Default"/>
        <w:rPr>
          <w:rFonts w:asciiTheme="minorHAnsi" w:hAnsiTheme="minorHAnsi"/>
          <w:b/>
        </w:rPr>
      </w:pPr>
    </w:p>
    <w:p w14:paraId="5355BF1C" w14:textId="1D5AC95C" w:rsidR="00817CEC" w:rsidRDefault="00817CEC" w:rsidP="00817CEC">
      <w:pPr>
        <w:pStyle w:val="Default"/>
        <w:rPr>
          <w:rFonts w:asciiTheme="minorHAnsi" w:hAnsiTheme="minorHAnsi"/>
          <w:b/>
        </w:rPr>
      </w:pPr>
    </w:p>
    <w:p w14:paraId="1B916E0A" w14:textId="77777777" w:rsidR="00817CEC" w:rsidRDefault="00817CEC" w:rsidP="00817CEC">
      <w:pPr>
        <w:pStyle w:val="Default"/>
        <w:rPr>
          <w:rFonts w:asciiTheme="minorHAnsi" w:hAnsiTheme="minorHAnsi"/>
          <w:b/>
        </w:rPr>
      </w:pPr>
    </w:p>
    <w:p w14:paraId="22A38CA7" w14:textId="77777777" w:rsidR="00817CEC" w:rsidRPr="00DA1371" w:rsidRDefault="00817CEC" w:rsidP="00817CEC">
      <w:pPr>
        <w:pStyle w:val="Default"/>
        <w:rPr>
          <w:rFonts w:asciiTheme="minorHAnsi" w:hAnsiTheme="minorHAnsi"/>
          <w:b/>
        </w:rPr>
      </w:pPr>
    </w:p>
    <w:p w14:paraId="7757AC05" w14:textId="42FE7A8B" w:rsidR="00817CEC" w:rsidRPr="001B6957" w:rsidRDefault="00817CEC" w:rsidP="00817CEC"/>
    <w:p w14:paraId="6AA3A943" w14:textId="10AA3CD5" w:rsidR="00684A89" w:rsidRDefault="00684A89" w:rsidP="005B1F6D">
      <w:pPr>
        <w:pStyle w:val="Heading2"/>
      </w:pPr>
      <w:bookmarkStart w:id="20" w:name="_Hlk13839206"/>
      <w:bookmarkEnd w:id="19"/>
      <w:r w:rsidRPr="00880679">
        <w:t>Speech and Language</w:t>
      </w:r>
    </w:p>
    <w:bookmarkEnd w:id="20"/>
    <w:p w14:paraId="291E5858" w14:textId="77777777" w:rsidR="00427167" w:rsidRPr="00580BD2" w:rsidRDefault="00427167" w:rsidP="00427167">
      <w:pPr>
        <w:rPr>
          <w:rFonts w:cstheme="majorHAnsi"/>
          <w:color w:val="333333"/>
          <w:sz w:val="24"/>
          <w:szCs w:val="24"/>
          <w:shd w:val="clear" w:color="auto" w:fill="FFFFFF"/>
        </w:rPr>
      </w:pPr>
      <w:r w:rsidRPr="00580BD2">
        <w:rPr>
          <w:rFonts w:cstheme="majorHAnsi"/>
          <w:color w:val="333333"/>
          <w:sz w:val="24"/>
          <w:szCs w:val="24"/>
          <w:shd w:val="clear" w:color="auto" w:fill="FFFFFF"/>
        </w:rPr>
        <w:t xml:space="preserve">For children to have achieved at least the expected level </w:t>
      </w:r>
      <w:r>
        <w:rPr>
          <w:rFonts w:cstheme="majorHAnsi"/>
          <w:color w:val="333333"/>
          <w:sz w:val="24"/>
          <w:szCs w:val="24"/>
          <w:shd w:val="clear" w:color="auto" w:fill="FFFFFF"/>
        </w:rPr>
        <w:t xml:space="preserve">of development </w:t>
      </w:r>
      <w:r w:rsidRPr="00580BD2">
        <w:rPr>
          <w:rFonts w:cstheme="majorHAnsi"/>
          <w:color w:val="333333"/>
          <w:sz w:val="24"/>
          <w:szCs w:val="24"/>
          <w:shd w:val="clear" w:color="auto" w:fill="FFFFFF"/>
        </w:rPr>
        <w:t>means that they achieved ‘expected’ or ‘exceeded’ levels within all three communication and language early learning goals (listening and attention, understanding, speaking)</w:t>
      </w:r>
      <w:r w:rsidRPr="00013172">
        <w:rPr>
          <w:rFonts w:cstheme="majorHAnsi"/>
          <w:color w:val="333333"/>
          <w:sz w:val="24"/>
          <w:szCs w:val="24"/>
          <w:shd w:val="clear" w:color="auto" w:fill="FFFFFF"/>
        </w:rPr>
        <w:t xml:space="preserve"> </w:t>
      </w:r>
      <w:r w:rsidRPr="00580BD2">
        <w:rPr>
          <w:rFonts w:cstheme="majorHAnsi"/>
          <w:color w:val="333333"/>
          <w:sz w:val="24"/>
          <w:szCs w:val="24"/>
          <w:shd w:val="clear" w:color="auto" w:fill="FFFFFF"/>
        </w:rPr>
        <w:t>at the end of the Early Years Foundation Stage (EYFS).</w:t>
      </w:r>
    </w:p>
    <w:p w14:paraId="0C2FED22" w14:textId="79E8DFD0" w:rsidR="00427167" w:rsidRPr="004F0212" w:rsidRDefault="00427167" w:rsidP="00427167">
      <w:pPr>
        <w:rPr>
          <w:rFonts w:cstheme="majorHAnsi"/>
          <w:sz w:val="24"/>
          <w:szCs w:val="24"/>
          <w:u w:val="single"/>
        </w:rPr>
      </w:pPr>
      <w:r>
        <w:rPr>
          <w:rFonts w:cstheme="majorHAnsi"/>
          <w:sz w:val="24"/>
          <w:szCs w:val="24"/>
        </w:rPr>
        <w:t>In 2</w:t>
      </w:r>
      <w:r w:rsidR="00A605C5">
        <w:rPr>
          <w:rFonts w:cstheme="majorHAnsi"/>
          <w:sz w:val="24"/>
          <w:szCs w:val="24"/>
        </w:rPr>
        <w:t>018</w:t>
      </w:r>
      <w:r w:rsidR="00B87200">
        <w:rPr>
          <w:rFonts w:cstheme="majorHAnsi"/>
          <w:sz w:val="24"/>
          <w:szCs w:val="24"/>
        </w:rPr>
        <w:t>/19</w:t>
      </w:r>
      <w:r>
        <w:rPr>
          <w:rFonts w:cstheme="majorHAnsi"/>
          <w:sz w:val="24"/>
          <w:szCs w:val="24"/>
        </w:rPr>
        <w:t xml:space="preserve">, </w:t>
      </w:r>
      <w:r w:rsidRPr="004F0212">
        <w:rPr>
          <w:rFonts w:cstheme="majorHAnsi"/>
          <w:sz w:val="24"/>
          <w:szCs w:val="24"/>
        </w:rPr>
        <w:t>77.9% of Sandwell children achieved a good level of development</w:t>
      </w:r>
      <w:r>
        <w:rPr>
          <w:rFonts w:cstheme="majorHAnsi"/>
          <w:sz w:val="24"/>
          <w:szCs w:val="24"/>
        </w:rPr>
        <w:t xml:space="preserve"> compared with an</w:t>
      </w:r>
      <w:r w:rsidRPr="004F0212">
        <w:rPr>
          <w:rFonts w:cstheme="majorHAnsi"/>
          <w:sz w:val="24"/>
          <w:szCs w:val="24"/>
        </w:rPr>
        <w:t xml:space="preserve"> England </w:t>
      </w:r>
      <w:r w:rsidR="00B87200">
        <w:rPr>
          <w:rFonts w:cstheme="majorHAnsi"/>
          <w:sz w:val="24"/>
          <w:szCs w:val="24"/>
        </w:rPr>
        <w:t>rate</w:t>
      </w:r>
      <w:r>
        <w:rPr>
          <w:rFonts w:cstheme="majorHAnsi"/>
          <w:sz w:val="24"/>
          <w:szCs w:val="24"/>
        </w:rPr>
        <w:t xml:space="preserve"> of </w:t>
      </w:r>
      <w:r w:rsidRPr="004F0212">
        <w:rPr>
          <w:rFonts w:cstheme="majorHAnsi"/>
          <w:sz w:val="24"/>
          <w:szCs w:val="24"/>
        </w:rPr>
        <w:t>82.</w:t>
      </w:r>
      <w:r w:rsidR="00B87200">
        <w:rPr>
          <w:rFonts w:cstheme="majorHAnsi"/>
          <w:sz w:val="24"/>
          <w:szCs w:val="24"/>
        </w:rPr>
        <w:t>2</w:t>
      </w:r>
      <w:r w:rsidRPr="004F0212">
        <w:rPr>
          <w:rFonts w:cstheme="majorHAnsi"/>
          <w:sz w:val="24"/>
          <w:szCs w:val="24"/>
        </w:rPr>
        <w:t>%</w:t>
      </w:r>
      <w:r>
        <w:rPr>
          <w:rFonts w:cstheme="majorHAnsi"/>
          <w:sz w:val="24"/>
          <w:szCs w:val="24"/>
        </w:rPr>
        <w:t xml:space="preserve"> and a </w:t>
      </w:r>
      <w:r w:rsidRPr="004F0212">
        <w:rPr>
          <w:rFonts w:cstheme="majorHAnsi"/>
          <w:sz w:val="24"/>
          <w:szCs w:val="24"/>
        </w:rPr>
        <w:t xml:space="preserve">West Midlands </w:t>
      </w:r>
      <w:r w:rsidR="00B87200">
        <w:rPr>
          <w:rFonts w:cstheme="majorHAnsi"/>
          <w:sz w:val="24"/>
          <w:szCs w:val="24"/>
        </w:rPr>
        <w:t>region</w:t>
      </w:r>
      <w:r w:rsidRPr="004F0212">
        <w:rPr>
          <w:rFonts w:cstheme="majorHAnsi"/>
          <w:sz w:val="24"/>
          <w:szCs w:val="24"/>
        </w:rPr>
        <w:t xml:space="preserve"> </w:t>
      </w:r>
      <w:r w:rsidR="00E91C47">
        <w:rPr>
          <w:rFonts w:cstheme="majorHAnsi"/>
          <w:sz w:val="24"/>
          <w:szCs w:val="24"/>
        </w:rPr>
        <w:t>rate</w:t>
      </w:r>
      <w:r>
        <w:rPr>
          <w:rFonts w:cstheme="majorHAnsi"/>
          <w:sz w:val="24"/>
          <w:szCs w:val="24"/>
        </w:rPr>
        <w:t xml:space="preserve"> of </w:t>
      </w:r>
      <w:r w:rsidR="00B87200">
        <w:rPr>
          <w:rFonts w:cstheme="majorHAnsi"/>
          <w:sz w:val="24"/>
          <w:szCs w:val="24"/>
        </w:rPr>
        <w:t>79.8</w:t>
      </w:r>
      <w:r w:rsidRPr="004F0212">
        <w:rPr>
          <w:rFonts w:cstheme="majorHAnsi"/>
          <w:sz w:val="24"/>
          <w:szCs w:val="24"/>
        </w:rPr>
        <w:t>%.</w:t>
      </w:r>
    </w:p>
    <w:p w14:paraId="25A8D791" w14:textId="77777777" w:rsidR="00427167" w:rsidRPr="00580BD2" w:rsidRDefault="00427167" w:rsidP="00427167">
      <w:pPr>
        <w:pStyle w:val="ListParagraph"/>
        <w:numPr>
          <w:ilvl w:val="0"/>
          <w:numId w:val="5"/>
        </w:numPr>
        <w:ind w:left="1210"/>
        <w:rPr>
          <w:rFonts w:cstheme="majorHAnsi"/>
          <w:sz w:val="24"/>
          <w:szCs w:val="24"/>
          <w:u w:val="single"/>
        </w:rPr>
      </w:pPr>
      <w:r w:rsidRPr="00580BD2">
        <w:rPr>
          <w:rFonts w:cstheme="majorHAnsi"/>
          <w:sz w:val="24"/>
          <w:szCs w:val="24"/>
        </w:rPr>
        <w:t xml:space="preserve">Sandwell has an increasing trend based on </w:t>
      </w:r>
      <w:r>
        <w:rPr>
          <w:rFonts w:cstheme="majorHAnsi"/>
          <w:sz w:val="24"/>
          <w:szCs w:val="24"/>
        </w:rPr>
        <w:t xml:space="preserve">the </w:t>
      </w:r>
      <w:r w:rsidRPr="00580BD2">
        <w:rPr>
          <w:rFonts w:cstheme="majorHAnsi"/>
          <w:sz w:val="24"/>
          <w:szCs w:val="24"/>
        </w:rPr>
        <w:t>past 5 years</w:t>
      </w:r>
      <w:r>
        <w:rPr>
          <w:rFonts w:cstheme="majorHAnsi"/>
          <w:sz w:val="24"/>
          <w:szCs w:val="24"/>
        </w:rPr>
        <w:t>.</w:t>
      </w:r>
    </w:p>
    <w:p w14:paraId="5962A194" w14:textId="77777777" w:rsidR="00427167" w:rsidRPr="004F0212" w:rsidRDefault="00427167" w:rsidP="00427167">
      <w:pPr>
        <w:pStyle w:val="ListParagraph"/>
        <w:numPr>
          <w:ilvl w:val="0"/>
          <w:numId w:val="5"/>
        </w:numPr>
        <w:ind w:left="1210"/>
        <w:rPr>
          <w:rFonts w:cstheme="majorHAnsi"/>
          <w:sz w:val="24"/>
          <w:szCs w:val="24"/>
          <w:u w:val="single"/>
        </w:rPr>
      </w:pPr>
      <w:r>
        <w:rPr>
          <w:rFonts w:cstheme="majorHAnsi"/>
          <w:sz w:val="24"/>
          <w:szCs w:val="24"/>
        </w:rPr>
        <w:t>The Sandwell rate is s</w:t>
      </w:r>
      <w:r w:rsidRPr="00580BD2">
        <w:rPr>
          <w:rFonts w:cstheme="majorHAnsi"/>
          <w:sz w:val="24"/>
          <w:szCs w:val="24"/>
        </w:rPr>
        <w:t>ignificantly lower than England and West Midlands</w:t>
      </w:r>
      <w:r>
        <w:rPr>
          <w:rFonts w:cstheme="majorHAnsi"/>
          <w:sz w:val="24"/>
          <w:szCs w:val="24"/>
        </w:rPr>
        <w:t>.</w:t>
      </w:r>
    </w:p>
    <w:p w14:paraId="22938377" w14:textId="5BC3191A" w:rsidR="00427167" w:rsidRPr="004F0212" w:rsidRDefault="00427167" w:rsidP="00427167">
      <w:pPr>
        <w:rPr>
          <w:rFonts w:cstheme="majorHAnsi"/>
          <w:b/>
          <w:sz w:val="24"/>
          <w:szCs w:val="24"/>
        </w:rPr>
      </w:pPr>
      <w:r w:rsidRPr="004F0212">
        <w:rPr>
          <w:rFonts w:cstheme="majorHAnsi"/>
          <w:b/>
          <w:sz w:val="24"/>
          <w:szCs w:val="24"/>
        </w:rPr>
        <w:t>Figure 2.1</w:t>
      </w:r>
      <w:r w:rsidR="00684A89">
        <w:rPr>
          <w:rFonts w:cstheme="majorHAnsi"/>
          <w:b/>
          <w:sz w:val="24"/>
          <w:szCs w:val="24"/>
        </w:rPr>
        <w:t>5</w:t>
      </w:r>
    </w:p>
    <w:p w14:paraId="10273AD5" w14:textId="6152D72E" w:rsidR="00427167" w:rsidRPr="00580BD2" w:rsidRDefault="00A605C5" w:rsidP="00427167">
      <w:pPr>
        <w:rPr>
          <w:rFonts w:cstheme="majorHAnsi"/>
          <w:sz w:val="24"/>
          <w:szCs w:val="24"/>
          <w:u w:val="single"/>
        </w:rPr>
      </w:pPr>
      <w:r>
        <w:rPr>
          <w:noProof/>
        </w:rPr>
        <w:drawing>
          <wp:inline distT="0" distB="0" distL="0" distR="0" wp14:anchorId="7C34711F" wp14:editId="53987206">
            <wp:extent cx="4795200" cy="3596400"/>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5200" cy="3596400"/>
                    </a:xfrm>
                    <a:prstGeom prst="rect">
                      <a:avLst/>
                    </a:prstGeom>
                  </pic:spPr>
                </pic:pic>
              </a:graphicData>
            </a:graphic>
          </wp:inline>
        </w:drawing>
      </w:r>
    </w:p>
    <w:p w14:paraId="4C08C59C" w14:textId="1C10B2D6" w:rsidR="00427167" w:rsidRDefault="00427167" w:rsidP="00427167">
      <w:pPr>
        <w:rPr>
          <w:rFonts w:cstheme="majorHAnsi"/>
          <w:sz w:val="24"/>
          <w:szCs w:val="24"/>
        </w:rPr>
      </w:pPr>
      <w:r w:rsidRPr="00C96FEC">
        <w:rPr>
          <w:rFonts w:cstheme="majorHAnsi"/>
          <w:sz w:val="24"/>
          <w:szCs w:val="24"/>
        </w:rPr>
        <w:t xml:space="preserve">Source: </w:t>
      </w:r>
      <w:r w:rsidR="00CC60EB">
        <w:rPr>
          <w:rFonts w:cstheme="majorHAnsi"/>
          <w:sz w:val="24"/>
          <w:szCs w:val="24"/>
        </w:rPr>
        <w:t>Office for</w:t>
      </w:r>
      <w:r w:rsidRPr="00C96FEC">
        <w:rPr>
          <w:rFonts w:cstheme="majorHAnsi"/>
          <w:sz w:val="24"/>
          <w:szCs w:val="24"/>
        </w:rPr>
        <w:t xml:space="preserve"> Health </w:t>
      </w:r>
      <w:r w:rsidR="00CC60EB">
        <w:rPr>
          <w:rFonts w:cstheme="majorHAnsi"/>
          <w:sz w:val="24"/>
          <w:szCs w:val="24"/>
        </w:rPr>
        <w:t>Improvement &amp; Disparitie</w:t>
      </w:r>
      <w:r w:rsidR="00574708">
        <w:rPr>
          <w:rFonts w:cstheme="majorHAnsi"/>
          <w:sz w:val="24"/>
          <w:szCs w:val="24"/>
        </w:rPr>
        <w:t>s</w:t>
      </w:r>
      <w:r w:rsidRPr="00C96FEC">
        <w:rPr>
          <w:rFonts w:cstheme="majorHAnsi"/>
          <w:sz w:val="24"/>
          <w:szCs w:val="24"/>
        </w:rPr>
        <w:t xml:space="preserve"> Profiles</w:t>
      </w:r>
    </w:p>
    <w:p w14:paraId="0791CF69" w14:textId="77777777" w:rsidR="00427167" w:rsidRDefault="00427167" w:rsidP="00427167">
      <w:pPr>
        <w:rPr>
          <w:rFonts w:cstheme="majorHAnsi"/>
          <w:sz w:val="24"/>
          <w:szCs w:val="24"/>
        </w:rPr>
      </w:pPr>
    </w:p>
    <w:p w14:paraId="3697900B" w14:textId="77777777" w:rsidR="00427167" w:rsidRPr="00CB56E7" w:rsidRDefault="00427167" w:rsidP="00427167">
      <w:pPr>
        <w:rPr>
          <w:rFonts w:cstheme="minorHAnsi"/>
          <w:sz w:val="24"/>
          <w:szCs w:val="24"/>
        </w:rPr>
      </w:pPr>
      <w:r w:rsidRPr="00CB56E7">
        <w:rPr>
          <w:rFonts w:cstheme="minorHAnsi"/>
          <w:sz w:val="24"/>
          <w:szCs w:val="24"/>
        </w:rPr>
        <w:t>The Wellcomm speech and language screening tool (developed within the borough) is used to assess children’s speech and language development. Completion of the tool enables the assessor to grade as red, amber or green. Assessors can use the associated ‘book of ideas’ to tailor support for individual children and where appropriate, they can assist parents with making a referral to the Speech and Language Therapy service. Early Years Practitioners are asked to use the tool both at the beginning and end of the academic year for 3 and 4 year olds.</w:t>
      </w:r>
    </w:p>
    <w:p w14:paraId="6F7DD7C6" w14:textId="77777777" w:rsidR="00427167" w:rsidRDefault="00427167" w:rsidP="00B13D4A">
      <w:pPr>
        <w:pStyle w:val="ListParagraph"/>
        <w:numPr>
          <w:ilvl w:val="0"/>
          <w:numId w:val="18"/>
        </w:numPr>
        <w:rPr>
          <w:rFonts w:cstheme="majorHAnsi"/>
          <w:sz w:val="24"/>
          <w:szCs w:val="24"/>
        </w:rPr>
      </w:pPr>
      <w:r>
        <w:rPr>
          <w:rFonts w:cstheme="majorHAnsi"/>
          <w:sz w:val="24"/>
          <w:szCs w:val="24"/>
        </w:rPr>
        <w:t>In summer 2018, 23.3% of pupils were assessed as “red”, and 59.3% as “green”. This has shown an improvement since 2014. 5,814 nursery children were assessed in total (at schools/settings where information was returned to the authority).</w:t>
      </w:r>
    </w:p>
    <w:p w14:paraId="49CBC8B5" w14:textId="77777777" w:rsidR="00427167" w:rsidRDefault="00427167" w:rsidP="00B13D4A">
      <w:pPr>
        <w:pStyle w:val="ListParagraph"/>
        <w:numPr>
          <w:ilvl w:val="0"/>
          <w:numId w:val="18"/>
        </w:numPr>
        <w:rPr>
          <w:rFonts w:cstheme="majorHAnsi"/>
          <w:sz w:val="24"/>
          <w:szCs w:val="24"/>
        </w:rPr>
      </w:pPr>
      <w:r>
        <w:rPr>
          <w:rFonts w:cstheme="majorHAnsi"/>
          <w:sz w:val="24"/>
          <w:szCs w:val="24"/>
        </w:rPr>
        <w:t>When considering the progress of only those pupils who were assessed both in the autumn and summer of 2017/18 academic year, the proportion scoring “green” increased from 46.5% in the autumn term to 61.6% in the following summer.</w:t>
      </w:r>
    </w:p>
    <w:p w14:paraId="29DF924F" w14:textId="59C6015B" w:rsidR="00427167" w:rsidRDefault="00427167" w:rsidP="00B13D4A">
      <w:pPr>
        <w:pStyle w:val="ListParagraph"/>
        <w:numPr>
          <w:ilvl w:val="0"/>
          <w:numId w:val="18"/>
        </w:numPr>
        <w:rPr>
          <w:rFonts w:cstheme="majorHAnsi"/>
          <w:sz w:val="24"/>
          <w:szCs w:val="24"/>
        </w:rPr>
      </w:pPr>
      <w:r>
        <w:rPr>
          <w:rFonts w:cstheme="majorHAnsi"/>
          <w:sz w:val="24"/>
          <w:szCs w:val="24"/>
        </w:rPr>
        <w:t>During 2017/18, 10% of children (470) assessed did not make any progress over the term.</w:t>
      </w:r>
    </w:p>
    <w:p w14:paraId="00FCB047" w14:textId="77777777" w:rsidR="00427167" w:rsidRDefault="00427167" w:rsidP="00427167">
      <w:pPr>
        <w:pStyle w:val="ListParagraph"/>
        <w:rPr>
          <w:rFonts w:cstheme="majorHAnsi"/>
          <w:b/>
          <w:sz w:val="24"/>
          <w:szCs w:val="24"/>
        </w:rPr>
      </w:pPr>
    </w:p>
    <w:p w14:paraId="40BFD00E" w14:textId="4B8B11F4" w:rsidR="00427167" w:rsidRPr="00427B85" w:rsidRDefault="00427167" w:rsidP="00427167">
      <w:pPr>
        <w:rPr>
          <w:rFonts w:cstheme="majorHAnsi"/>
          <w:b/>
          <w:sz w:val="24"/>
          <w:szCs w:val="24"/>
        </w:rPr>
      </w:pPr>
      <w:r w:rsidRPr="00427B85">
        <w:rPr>
          <w:rFonts w:cstheme="majorHAnsi"/>
          <w:b/>
          <w:sz w:val="24"/>
          <w:szCs w:val="24"/>
        </w:rPr>
        <w:t>Figure 2.1</w:t>
      </w:r>
      <w:r w:rsidR="00684A89">
        <w:rPr>
          <w:rFonts w:cstheme="majorHAnsi"/>
          <w:b/>
          <w:sz w:val="24"/>
          <w:szCs w:val="24"/>
        </w:rPr>
        <w:t>6</w:t>
      </w:r>
      <w:r w:rsidR="00D05BB1">
        <w:rPr>
          <w:rFonts w:cstheme="majorHAnsi"/>
          <w:b/>
          <w:sz w:val="24"/>
          <w:szCs w:val="24"/>
        </w:rPr>
        <w:t>:</w:t>
      </w:r>
      <w:r>
        <w:rPr>
          <w:rFonts w:cstheme="majorHAnsi"/>
          <w:b/>
          <w:sz w:val="24"/>
          <w:szCs w:val="24"/>
        </w:rPr>
        <w:t xml:space="preserve"> Welcomm Screening Tool Assessment Progress 2014/15 – 2017/18</w:t>
      </w:r>
    </w:p>
    <w:p w14:paraId="199D89E5" w14:textId="77777777" w:rsidR="00427167" w:rsidRDefault="00427167" w:rsidP="00427167">
      <w:pPr>
        <w:rPr>
          <w:rFonts w:cstheme="majorHAnsi"/>
          <w:sz w:val="24"/>
          <w:szCs w:val="24"/>
        </w:rPr>
      </w:pPr>
      <w:r>
        <w:rPr>
          <w:rFonts w:cstheme="majorHAnsi"/>
          <w:noProof/>
          <w:sz w:val="24"/>
          <w:szCs w:val="24"/>
        </w:rPr>
        <w:drawing>
          <wp:inline distT="0" distB="0" distL="0" distR="0" wp14:anchorId="65DE1E48" wp14:editId="7D2A6765">
            <wp:extent cx="5165710" cy="3105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4158" cy="3110228"/>
                    </a:xfrm>
                    <a:prstGeom prst="rect">
                      <a:avLst/>
                    </a:prstGeom>
                    <a:noFill/>
                  </pic:spPr>
                </pic:pic>
              </a:graphicData>
            </a:graphic>
          </wp:inline>
        </w:drawing>
      </w:r>
    </w:p>
    <w:p w14:paraId="4BBFE3BE" w14:textId="77777777" w:rsidR="00427167" w:rsidRPr="00427B85" w:rsidRDefault="00427167" w:rsidP="00427167">
      <w:pPr>
        <w:rPr>
          <w:rFonts w:cstheme="majorHAnsi"/>
          <w:sz w:val="24"/>
          <w:szCs w:val="24"/>
        </w:rPr>
      </w:pPr>
      <w:r>
        <w:rPr>
          <w:rFonts w:cstheme="majorHAnsi"/>
          <w:sz w:val="24"/>
          <w:szCs w:val="24"/>
        </w:rPr>
        <w:t>Source: Education, Skills and Employment, Sandwell MBC</w:t>
      </w:r>
    </w:p>
    <w:p w14:paraId="1B90C9CA" w14:textId="77777777" w:rsidR="00427167" w:rsidRPr="00580BD2" w:rsidRDefault="00427167" w:rsidP="00427167">
      <w:pPr>
        <w:jc w:val="right"/>
        <w:rPr>
          <w:rFonts w:cstheme="majorHAnsi"/>
          <w:sz w:val="24"/>
          <w:szCs w:val="24"/>
        </w:rPr>
      </w:pPr>
    </w:p>
    <w:p w14:paraId="1C9A1517" w14:textId="77777777" w:rsidR="00427167" w:rsidRPr="00580BD2" w:rsidRDefault="00427167" w:rsidP="005B1F6D">
      <w:pPr>
        <w:pStyle w:val="Heading2"/>
      </w:pPr>
      <w:r w:rsidRPr="00580BD2">
        <w:t>Literacy</w:t>
      </w:r>
    </w:p>
    <w:p w14:paraId="5E27CA80" w14:textId="77777777" w:rsidR="00427167" w:rsidRPr="00580BD2" w:rsidRDefault="00427167" w:rsidP="00427167">
      <w:pPr>
        <w:rPr>
          <w:rFonts w:cs="Arial"/>
          <w:color w:val="FF0000"/>
          <w:sz w:val="24"/>
          <w:szCs w:val="24"/>
        </w:rPr>
      </w:pPr>
      <w:r w:rsidRPr="00580BD2">
        <w:rPr>
          <w:rFonts w:cs="Arial"/>
          <w:sz w:val="24"/>
          <w:szCs w:val="24"/>
        </w:rPr>
        <w:t>Libraries are a key service in engaging parents and children with early literacy. Sandwell’s network of 19 community libraries co-ordinate the ‘Book Start’ programme:</w:t>
      </w:r>
    </w:p>
    <w:p w14:paraId="379084B7" w14:textId="77777777" w:rsidR="00427167" w:rsidRPr="00580BD2" w:rsidRDefault="00427167" w:rsidP="00B13D4A">
      <w:pPr>
        <w:pStyle w:val="ListParagraph"/>
        <w:numPr>
          <w:ilvl w:val="0"/>
          <w:numId w:val="9"/>
        </w:numPr>
        <w:spacing w:after="200" w:line="276" w:lineRule="auto"/>
        <w:rPr>
          <w:rFonts w:cs="Arial"/>
          <w:sz w:val="24"/>
          <w:szCs w:val="24"/>
        </w:rPr>
      </w:pPr>
      <w:r w:rsidRPr="00580BD2">
        <w:rPr>
          <w:rFonts w:cs="Arial"/>
          <w:sz w:val="24"/>
          <w:szCs w:val="24"/>
        </w:rPr>
        <w:t xml:space="preserve">A baby pack is distributed by the Health Visiting service to encourage early literacy and reinforce the view that it is never too early to start reading to children.  A Treasure Bag is then distributed to three and four year olds through school nurseries or pre-school settings. </w:t>
      </w:r>
    </w:p>
    <w:p w14:paraId="3E402FC1" w14:textId="7F6168A9" w:rsidR="00427167" w:rsidRDefault="00427167" w:rsidP="00B13D4A">
      <w:pPr>
        <w:pStyle w:val="ListParagraph"/>
        <w:numPr>
          <w:ilvl w:val="0"/>
          <w:numId w:val="9"/>
        </w:numPr>
        <w:spacing w:after="200" w:line="276" w:lineRule="auto"/>
        <w:rPr>
          <w:rFonts w:cs="Arial"/>
          <w:sz w:val="24"/>
          <w:szCs w:val="24"/>
        </w:rPr>
      </w:pPr>
      <w:r w:rsidRPr="00580BD2">
        <w:rPr>
          <w:rFonts w:cs="Arial"/>
          <w:sz w:val="24"/>
          <w:szCs w:val="24"/>
        </w:rPr>
        <w:t>The ‘Booktastic’ scheme was launched in October 2014.  This provides universal library membership for all reception children in Sandwell schools, and has led to a</w:t>
      </w:r>
      <w:r w:rsidR="007039CE">
        <w:rPr>
          <w:rFonts w:cs="Arial"/>
          <w:sz w:val="24"/>
          <w:szCs w:val="24"/>
        </w:rPr>
        <w:t>n</w:t>
      </w:r>
      <w:r w:rsidRPr="00580BD2">
        <w:rPr>
          <w:rFonts w:cs="Arial"/>
          <w:sz w:val="24"/>
          <w:szCs w:val="24"/>
        </w:rPr>
        <w:t xml:space="preserve"> increase in active membership since 2014.</w:t>
      </w:r>
    </w:p>
    <w:p w14:paraId="3F74DFB2" w14:textId="77777777" w:rsidR="00427167" w:rsidRPr="00580BD2" w:rsidRDefault="00427167" w:rsidP="00B13D4A">
      <w:pPr>
        <w:pStyle w:val="ListParagraph"/>
        <w:numPr>
          <w:ilvl w:val="0"/>
          <w:numId w:val="9"/>
        </w:numPr>
        <w:spacing w:after="200" w:line="276" w:lineRule="auto"/>
        <w:rPr>
          <w:rFonts w:cs="Arial"/>
          <w:sz w:val="24"/>
          <w:szCs w:val="24"/>
        </w:rPr>
      </w:pPr>
      <w:r>
        <w:rPr>
          <w:rFonts w:cstheme="majorHAnsi"/>
          <w:sz w:val="24"/>
          <w:szCs w:val="24"/>
        </w:rPr>
        <w:t xml:space="preserve">In October 2019, there were 6,960 active members </w:t>
      </w:r>
      <w:r w:rsidRPr="00580BD2">
        <w:rPr>
          <w:rFonts w:cs="Arial"/>
          <w:sz w:val="24"/>
          <w:szCs w:val="24"/>
        </w:rPr>
        <w:t xml:space="preserve">(defined as a child who has a minimum of two withdrawals in a 12 month period) </w:t>
      </w:r>
      <w:r>
        <w:rPr>
          <w:rFonts w:cstheme="majorHAnsi"/>
          <w:sz w:val="24"/>
          <w:szCs w:val="24"/>
        </w:rPr>
        <w:t>of Sandwell libraries aged 0 to 5 (20.6% of all 0-5 year olds).</w:t>
      </w:r>
    </w:p>
    <w:p w14:paraId="01B68EAD" w14:textId="77777777" w:rsidR="00427167" w:rsidRDefault="00427167" w:rsidP="00427167">
      <w:pPr>
        <w:rPr>
          <w:rFonts w:cs="Arial"/>
          <w:sz w:val="24"/>
          <w:szCs w:val="24"/>
        </w:rPr>
      </w:pPr>
    </w:p>
    <w:p w14:paraId="538C429C" w14:textId="7D91EE9A" w:rsidR="00427167" w:rsidRPr="00580BD2" w:rsidRDefault="00427167" w:rsidP="00427167">
      <w:pPr>
        <w:rPr>
          <w:rFonts w:cs="Arial"/>
          <w:sz w:val="24"/>
          <w:szCs w:val="24"/>
        </w:rPr>
      </w:pPr>
      <w:r w:rsidRPr="00580BD2">
        <w:rPr>
          <w:rFonts w:cs="Arial"/>
          <w:sz w:val="24"/>
          <w:szCs w:val="24"/>
        </w:rPr>
        <w:t xml:space="preserve">Figure </w:t>
      </w:r>
      <w:r>
        <w:rPr>
          <w:rFonts w:cs="Arial"/>
          <w:sz w:val="24"/>
          <w:szCs w:val="24"/>
        </w:rPr>
        <w:t>2.1</w:t>
      </w:r>
      <w:r w:rsidR="00684A89">
        <w:rPr>
          <w:rFonts w:cs="Arial"/>
          <w:sz w:val="24"/>
          <w:szCs w:val="24"/>
        </w:rPr>
        <w:t>7</w:t>
      </w:r>
      <w:r w:rsidRPr="00580BD2">
        <w:rPr>
          <w:rFonts w:cs="Arial"/>
          <w:sz w:val="24"/>
          <w:szCs w:val="24"/>
        </w:rPr>
        <w:t xml:space="preserve"> provides an analysis of library membership over a 12 month period. This shows active members aged 5 and under by ward, based on home address. The lowest levels of active library membership amongst 0 to 5s are in the wards of </w:t>
      </w:r>
      <w:r>
        <w:rPr>
          <w:rFonts w:cs="Arial"/>
          <w:sz w:val="24"/>
          <w:szCs w:val="24"/>
        </w:rPr>
        <w:t>Greets Green &amp; Lyng (15.1%) and</w:t>
      </w:r>
      <w:r w:rsidRPr="00580BD2">
        <w:rPr>
          <w:rFonts w:cs="Arial"/>
          <w:sz w:val="24"/>
          <w:szCs w:val="24"/>
        </w:rPr>
        <w:t xml:space="preserve"> </w:t>
      </w:r>
      <w:r>
        <w:rPr>
          <w:rFonts w:cs="Arial"/>
          <w:sz w:val="24"/>
          <w:szCs w:val="24"/>
        </w:rPr>
        <w:t>Cradley Heath &amp; Old Hill</w:t>
      </w:r>
      <w:r w:rsidRPr="00580BD2">
        <w:rPr>
          <w:rFonts w:cs="Arial"/>
          <w:sz w:val="24"/>
          <w:szCs w:val="24"/>
        </w:rPr>
        <w:t xml:space="preserve"> </w:t>
      </w:r>
      <w:r>
        <w:rPr>
          <w:rFonts w:cs="Arial"/>
          <w:sz w:val="24"/>
          <w:szCs w:val="24"/>
        </w:rPr>
        <w:t>(15.5%)</w:t>
      </w:r>
      <w:r w:rsidRPr="00580BD2">
        <w:rPr>
          <w:rFonts w:cs="Arial"/>
          <w:sz w:val="24"/>
          <w:szCs w:val="24"/>
        </w:rPr>
        <w:t xml:space="preserve">. The highest levels of active library membership amongst 0 to 5s are in the ward of </w:t>
      </w:r>
      <w:r>
        <w:rPr>
          <w:rFonts w:cs="Arial"/>
          <w:sz w:val="24"/>
          <w:szCs w:val="24"/>
        </w:rPr>
        <w:t>Abbe</w:t>
      </w:r>
      <w:r w:rsidRPr="00580BD2">
        <w:rPr>
          <w:rFonts w:cs="Arial"/>
          <w:sz w:val="24"/>
          <w:szCs w:val="24"/>
        </w:rPr>
        <w:t xml:space="preserve">y </w:t>
      </w:r>
      <w:r>
        <w:rPr>
          <w:rFonts w:cs="Arial"/>
          <w:sz w:val="24"/>
          <w:szCs w:val="24"/>
        </w:rPr>
        <w:t>(28.9%)</w:t>
      </w:r>
      <w:r w:rsidRPr="00580BD2">
        <w:rPr>
          <w:rFonts w:cs="Arial"/>
          <w:sz w:val="24"/>
          <w:szCs w:val="24"/>
        </w:rPr>
        <w:t>.</w:t>
      </w:r>
      <w:r>
        <w:rPr>
          <w:rFonts w:cs="Arial"/>
          <w:sz w:val="24"/>
          <w:szCs w:val="24"/>
        </w:rPr>
        <w:t xml:space="preserve"> </w:t>
      </w:r>
    </w:p>
    <w:p w14:paraId="46E44A9E" w14:textId="77777777" w:rsidR="00427167" w:rsidRPr="00580BD2" w:rsidRDefault="00427167" w:rsidP="00427167">
      <w:pPr>
        <w:rPr>
          <w:rFonts w:cs="Arial"/>
          <w:sz w:val="24"/>
          <w:szCs w:val="24"/>
        </w:rPr>
      </w:pPr>
    </w:p>
    <w:p w14:paraId="3F0F681D" w14:textId="401F091B" w:rsidR="00427167" w:rsidRPr="004F0212" w:rsidRDefault="00427167" w:rsidP="00427167">
      <w:pPr>
        <w:rPr>
          <w:rFonts w:cs="Arial"/>
          <w:b/>
          <w:sz w:val="24"/>
          <w:szCs w:val="24"/>
        </w:rPr>
      </w:pPr>
      <w:r w:rsidRPr="004F0212">
        <w:rPr>
          <w:rFonts w:cs="Arial"/>
          <w:b/>
          <w:sz w:val="24"/>
          <w:szCs w:val="24"/>
        </w:rPr>
        <w:t>Figure 2.1</w:t>
      </w:r>
      <w:r w:rsidR="00684A89">
        <w:rPr>
          <w:rFonts w:cs="Arial"/>
          <w:b/>
          <w:sz w:val="24"/>
          <w:szCs w:val="24"/>
        </w:rPr>
        <w:t>7</w:t>
      </w:r>
      <w:r w:rsidRPr="004F0212">
        <w:rPr>
          <w:rFonts w:cs="Arial"/>
          <w:b/>
          <w:sz w:val="24"/>
          <w:szCs w:val="24"/>
        </w:rPr>
        <w:t>: Active members (0-5 years) in Sandwell libraries October 2019</w:t>
      </w:r>
    </w:p>
    <w:p w14:paraId="4D19FCC5" w14:textId="77777777" w:rsidR="00427167" w:rsidRPr="00580BD2" w:rsidRDefault="00427167" w:rsidP="00427167">
      <w:pPr>
        <w:rPr>
          <w:rFonts w:cs="Arial"/>
          <w:b/>
          <w:sz w:val="24"/>
          <w:szCs w:val="24"/>
        </w:rPr>
      </w:pPr>
      <w:r>
        <w:rPr>
          <w:rFonts w:cs="Arial"/>
          <w:b/>
          <w:noProof/>
          <w:sz w:val="24"/>
          <w:szCs w:val="24"/>
        </w:rPr>
        <w:drawing>
          <wp:inline distT="0" distB="0" distL="0" distR="0" wp14:anchorId="4FCE7E91" wp14:editId="5ECD8247">
            <wp:extent cx="5746750" cy="3333115"/>
            <wp:effectExtent l="0" t="0" r="635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5681" cy="3344095"/>
                    </a:xfrm>
                    <a:prstGeom prst="rect">
                      <a:avLst/>
                    </a:prstGeom>
                    <a:noFill/>
                  </pic:spPr>
                </pic:pic>
              </a:graphicData>
            </a:graphic>
          </wp:inline>
        </w:drawing>
      </w:r>
    </w:p>
    <w:p w14:paraId="79030268" w14:textId="77777777" w:rsidR="00427167" w:rsidRPr="00580BD2" w:rsidRDefault="00427167" w:rsidP="00427167">
      <w:pPr>
        <w:rPr>
          <w:rFonts w:cs="Arial"/>
          <w:sz w:val="24"/>
          <w:szCs w:val="24"/>
        </w:rPr>
      </w:pPr>
      <w:r w:rsidRPr="00580BD2">
        <w:rPr>
          <w:rFonts w:cs="Arial"/>
          <w:sz w:val="24"/>
          <w:szCs w:val="24"/>
        </w:rPr>
        <w:t>Source: Sandwell Library Service</w:t>
      </w:r>
    </w:p>
    <w:p w14:paraId="03803EC1" w14:textId="77777777" w:rsidR="00427167" w:rsidRPr="00580BD2" w:rsidRDefault="00427167" w:rsidP="00427167">
      <w:pPr>
        <w:rPr>
          <w:rFonts w:cs="Arial"/>
          <w:color w:val="FF0000"/>
          <w:sz w:val="24"/>
          <w:szCs w:val="24"/>
        </w:rPr>
      </w:pPr>
    </w:p>
    <w:p w14:paraId="69F42609" w14:textId="76409097" w:rsidR="00427167" w:rsidRPr="00580BD2" w:rsidRDefault="00427167" w:rsidP="005B1F6D">
      <w:pPr>
        <w:pStyle w:val="Heading2"/>
      </w:pPr>
      <w:r w:rsidRPr="00580BD2">
        <w:t>Child</w:t>
      </w:r>
      <w:r w:rsidR="00003903">
        <w:t>c</w:t>
      </w:r>
      <w:r w:rsidRPr="00580BD2">
        <w:t>are Provision</w:t>
      </w:r>
    </w:p>
    <w:p w14:paraId="566422C0" w14:textId="40F767CD" w:rsidR="00427167" w:rsidRPr="00580BD2" w:rsidRDefault="00427167" w:rsidP="00427167">
      <w:pPr>
        <w:rPr>
          <w:rFonts w:cs="Arial"/>
          <w:sz w:val="24"/>
          <w:szCs w:val="24"/>
        </w:rPr>
      </w:pPr>
      <w:r w:rsidRPr="00580BD2">
        <w:rPr>
          <w:rFonts w:cs="Arial"/>
          <w:sz w:val="24"/>
          <w:szCs w:val="24"/>
        </w:rPr>
        <w:t>Childcare in Sandwell is delivered by a range of provider types and is a mixture of local authority-funded and self-funded provision.  All three and four year olds are entitled to 570 hours of free early education and childcare (NEF) a year.  Early Learning for two year olds (ELT) has also been introduced and is targeted at the most disadvantaged families (those on specific benefits and with an income below a certain level</w:t>
      </w:r>
      <w:r w:rsidR="007039CE">
        <w:rPr>
          <w:rFonts w:cs="Arial"/>
          <w:sz w:val="24"/>
          <w:szCs w:val="24"/>
        </w:rPr>
        <w:t>;</w:t>
      </w:r>
      <w:r w:rsidRPr="00580BD2">
        <w:rPr>
          <w:rFonts w:cs="Arial"/>
          <w:sz w:val="24"/>
          <w:szCs w:val="24"/>
        </w:rPr>
        <w:t xml:space="preserve"> where children are looked after by the local authority</w:t>
      </w:r>
      <w:r w:rsidR="007039CE">
        <w:rPr>
          <w:rFonts w:cs="Arial"/>
          <w:sz w:val="24"/>
          <w:szCs w:val="24"/>
        </w:rPr>
        <w:t>; or where children with SEN have been identified through our services</w:t>
      </w:r>
      <w:r w:rsidRPr="00580BD2">
        <w:rPr>
          <w:rFonts w:cs="Arial"/>
          <w:sz w:val="24"/>
          <w:szCs w:val="24"/>
        </w:rPr>
        <w:t>).</w:t>
      </w:r>
    </w:p>
    <w:p w14:paraId="5A9606C6" w14:textId="77777777" w:rsidR="00427167" w:rsidRPr="00580BD2" w:rsidRDefault="00427167" w:rsidP="00427167">
      <w:pPr>
        <w:rPr>
          <w:rFonts w:cs="Arial"/>
          <w:b/>
          <w:sz w:val="24"/>
          <w:szCs w:val="24"/>
        </w:rPr>
      </w:pPr>
    </w:p>
    <w:p w14:paraId="488ED0C4" w14:textId="77777777" w:rsidR="00427167" w:rsidRDefault="00427167" w:rsidP="00427167">
      <w:pPr>
        <w:rPr>
          <w:rFonts w:cs="Arial"/>
          <w:sz w:val="24"/>
          <w:szCs w:val="24"/>
        </w:rPr>
      </w:pPr>
      <w:r w:rsidRPr="00580BD2">
        <w:rPr>
          <w:rFonts w:cs="Arial"/>
          <w:sz w:val="24"/>
          <w:szCs w:val="24"/>
        </w:rPr>
        <w:t>The take-up rates for NEF at 96% (DfE LAIT 2019) are good and are just above the national average, with 9186 children taking up their free place. This indicates that the concept of nursery education for three and four year olds is well-embedded across the borough. The wards with the lowest level of take-up are Wednesbury South and Tipton Green.</w:t>
      </w:r>
      <w:r>
        <w:rPr>
          <w:rFonts w:cs="Arial"/>
          <w:sz w:val="24"/>
          <w:szCs w:val="24"/>
        </w:rPr>
        <w:t xml:space="preserve"> A number of wards have a higher level of take-up than eligibility – this is because children from other wards take up available places within that ward.</w:t>
      </w:r>
    </w:p>
    <w:p w14:paraId="5605373C" w14:textId="4236D69A" w:rsidR="00427167" w:rsidRDefault="00427167" w:rsidP="00427167">
      <w:pPr>
        <w:spacing w:after="160" w:line="259" w:lineRule="auto"/>
        <w:rPr>
          <w:rFonts w:cs="Arial"/>
          <w:b/>
          <w:sz w:val="24"/>
          <w:szCs w:val="24"/>
        </w:rPr>
      </w:pPr>
    </w:p>
    <w:p w14:paraId="2124E4EC" w14:textId="20EB22AE" w:rsidR="00427167" w:rsidRPr="001F7278" w:rsidRDefault="00427167" w:rsidP="00427167">
      <w:pPr>
        <w:rPr>
          <w:rFonts w:cs="Arial"/>
          <w:b/>
          <w:sz w:val="24"/>
          <w:szCs w:val="24"/>
        </w:rPr>
      </w:pPr>
      <w:r w:rsidRPr="001F7278">
        <w:rPr>
          <w:rFonts w:cs="Arial"/>
          <w:b/>
          <w:sz w:val="24"/>
          <w:szCs w:val="24"/>
        </w:rPr>
        <w:t>Figure 2.1</w:t>
      </w:r>
      <w:r w:rsidR="00684A89">
        <w:rPr>
          <w:rFonts w:cs="Arial"/>
          <w:b/>
          <w:sz w:val="24"/>
          <w:szCs w:val="24"/>
        </w:rPr>
        <w:t>8</w:t>
      </w:r>
      <w:r w:rsidRPr="001F7278">
        <w:rPr>
          <w:rFonts w:cs="Arial"/>
          <w:b/>
          <w:sz w:val="24"/>
          <w:szCs w:val="24"/>
        </w:rPr>
        <w:t>: Take up rates of NEF for 3-4 year olds in Sandwell by ward</w:t>
      </w:r>
    </w:p>
    <w:p w14:paraId="1F6EE955" w14:textId="77777777" w:rsidR="00427167" w:rsidRPr="00580BD2" w:rsidRDefault="00427167" w:rsidP="14679193">
      <w:pPr>
        <w:rPr>
          <w:rFonts w:cs="Arial"/>
          <w:b/>
          <w:bCs/>
          <w:sz w:val="24"/>
          <w:szCs w:val="24"/>
        </w:rPr>
      </w:pPr>
      <w:r w:rsidRPr="00580BD2">
        <w:rPr>
          <w:rFonts w:cs="Arial"/>
          <w:sz w:val="24"/>
          <w:szCs w:val="24"/>
        </w:rPr>
        <w:object w:dxaOrig="13119" w:dyaOrig="8595" w14:anchorId="267B3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pt;height:313.5pt" o:ole="">
            <v:imagedata r:id="rId63" o:title=""/>
          </v:shape>
          <o:OLEObject Type="Embed" ProgID="Excel.Sheet.12" ShapeID="_x0000_i1025" DrawAspect="Content" ObjectID="_1756194075" r:id="rId64"/>
        </w:object>
      </w:r>
    </w:p>
    <w:p w14:paraId="7CFA332C" w14:textId="77777777" w:rsidR="00427167" w:rsidRPr="00580BD2" w:rsidRDefault="00427167" w:rsidP="00427167">
      <w:pPr>
        <w:rPr>
          <w:rFonts w:cs="Arial"/>
          <w:sz w:val="24"/>
          <w:szCs w:val="24"/>
        </w:rPr>
      </w:pPr>
      <w:r w:rsidRPr="00580BD2">
        <w:rPr>
          <w:rFonts w:cs="Arial"/>
          <w:sz w:val="24"/>
          <w:szCs w:val="24"/>
        </w:rPr>
        <w:t>Source: Sandwell Family Information Service</w:t>
      </w:r>
    </w:p>
    <w:p w14:paraId="258A2243" w14:textId="77777777" w:rsidR="00427167" w:rsidRPr="00580BD2" w:rsidRDefault="00427167" w:rsidP="00427167">
      <w:pPr>
        <w:rPr>
          <w:rFonts w:cs="Arial"/>
          <w:sz w:val="24"/>
          <w:szCs w:val="24"/>
        </w:rPr>
      </w:pPr>
    </w:p>
    <w:p w14:paraId="3F5120CF" w14:textId="7BA65A70" w:rsidR="00427167" w:rsidRPr="00580BD2" w:rsidRDefault="00427167" w:rsidP="00427167">
      <w:pPr>
        <w:rPr>
          <w:rFonts w:cs="Arial"/>
          <w:sz w:val="24"/>
          <w:szCs w:val="24"/>
        </w:rPr>
      </w:pPr>
      <w:r w:rsidRPr="00580BD2">
        <w:rPr>
          <w:rFonts w:cs="Arial"/>
          <w:sz w:val="24"/>
          <w:szCs w:val="24"/>
        </w:rPr>
        <w:t>Early Learning for two year olds (ELT) was also introduced in 2013 and is targeted by government at the most disadvantaged families (</w:t>
      </w:r>
      <w:r w:rsidR="007039CE" w:rsidRPr="00580BD2">
        <w:rPr>
          <w:rFonts w:cs="Arial"/>
          <w:sz w:val="24"/>
          <w:szCs w:val="24"/>
        </w:rPr>
        <w:t>those on specific benefits and with an income below a certain level</w:t>
      </w:r>
      <w:r w:rsidR="007039CE">
        <w:rPr>
          <w:rFonts w:cs="Arial"/>
          <w:sz w:val="24"/>
          <w:szCs w:val="24"/>
        </w:rPr>
        <w:t>;</w:t>
      </w:r>
      <w:r w:rsidR="007039CE" w:rsidRPr="00580BD2">
        <w:rPr>
          <w:rFonts w:cs="Arial"/>
          <w:sz w:val="24"/>
          <w:szCs w:val="24"/>
        </w:rPr>
        <w:t xml:space="preserve"> where children are looked after by the local authority</w:t>
      </w:r>
      <w:r w:rsidR="007039CE">
        <w:rPr>
          <w:rFonts w:cs="Arial"/>
          <w:sz w:val="24"/>
          <w:szCs w:val="24"/>
        </w:rPr>
        <w:t>; or where children with SEN have been identified through our services</w:t>
      </w:r>
      <w:r w:rsidR="007039CE" w:rsidRPr="00580BD2">
        <w:rPr>
          <w:rFonts w:cs="Arial"/>
          <w:sz w:val="24"/>
          <w:szCs w:val="24"/>
        </w:rPr>
        <w:t>).</w:t>
      </w:r>
      <w:r w:rsidRPr="00580BD2">
        <w:rPr>
          <w:rFonts w:cs="Arial"/>
          <w:sz w:val="24"/>
          <w:szCs w:val="24"/>
        </w:rPr>
        <w:t xml:space="preserve"> The take-up for ELT in the borough has continued to grow. In 2014, 716 children were taking up places and this had grown to 1471 by 2019, with a take-up rate of 68%. The wards with the lowest levels of take-up (less than 30%) are Tividale and Cradley Heath &amp; Old Hill. </w:t>
      </w:r>
      <w:r>
        <w:rPr>
          <w:rFonts w:cs="Arial"/>
          <w:sz w:val="24"/>
          <w:szCs w:val="24"/>
        </w:rPr>
        <w:t xml:space="preserve">The estimated number of eligible children is derived from data supplied to the Dept. for Education by DWP, on the number of children believed to meet benefit and tax credit eligibility criteria.   </w:t>
      </w:r>
    </w:p>
    <w:p w14:paraId="26646F15" w14:textId="77777777" w:rsidR="00427167" w:rsidRPr="00580BD2" w:rsidRDefault="00427167" w:rsidP="00427167">
      <w:pPr>
        <w:rPr>
          <w:rFonts w:cs="Arial"/>
          <w:b/>
          <w:sz w:val="24"/>
          <w:szCs w:val="24"/>
        </w:rPr>
      </w:pPr>
    </w:p>
    <w:p w14:paraId="66669303" w14:textId="1F32016B" w:rsidR="00427167" w:rsidRPr="001F7278" w:rsidRDefault="00427167" w:rsidP="00427167">
      <w:pPr>
        <w:rPr>
          <w:rFonts w:cs="Arial"/>
          <w:b/>
          <w:sz w:val="24"/>
          <w:szCs w:val="24"/>
        </w:rPr>
      </w:pPr>
      <w:r w:rsidRPr="001F7278">
        <w:rPr>
          <w:rFonts w:cs="Arial"/>
          <w:b/>
          <w:sz w:val="24"/>
          <w:szCs w:val="24"/>
        </w:rPr>
        <w:t>Figure 2.1</w:t>
      </w:r>
      <w:r w:rsidR="00684A89">
        <w:rPr>
          <w:rFonts w:cs="Arial"/>
          <w:b/>
          <w:sz w:val="24"/>
          <w:szCs w:val="24"/>
        </w:rPr>
        <w:t>9</w:t>
      </w:r>
      <w:r w:rsidRPr="001F7278">
        <w:rPr>
          <w:rFonts w:cs="Arial"/>
          <w:b/>
          <w:sz w:val="24"/>
          <w:szCs w:val="24"/>
        </w:rPr>
        <w:t>: Take up of Early Learning for Two’s (ELT) funding in ward by Sandwell</w:t>
      </w:r>
    </w:p>
    <w:p w14:paraId="0822CB9C" w14:textId="77777777" w:rsidR="00427167" w:rsidRPr="00580BD2" w:rsidRDefault="00427167" w:rsidP="14679193">
      <w:pPr>
        <w:rPr>
          <w:rFonts w:cs="Arial"/>
          <w:b/>
          <w:bCs/>
          <w:sz w:val="24"/>
          <w:szCs w:val="24"/>
        </w:rPr>
      </w:pPr>
      <w:r w:rsidRPr="00580BD2">
        <w:rPr>
          <w:rFonts w:cs="Arial"/>
          <w:b/>
          <w:sz w:val="24"/>
          <w:szCs w:val="24"/>
        </w:rPr>
        <w:object w:dxaOrig="14191" w:dyaOrig="7296" w14:anchorId="5FF82699">
          <v:shape id="_x0000_i1026" type="#_x0000_t75" style="width:511.5pt;height:266.5pt" o:ole="">
            <v:imagedata r:id="rId65" o:title=""/>
          </v:shape>
          <o:OLEObject Type="Embed" ProgID="Excel.Sheet.12" ShapeID="_x0000_i1026" DrawAspect="Content" ObjectID="_1756194076" r:id="rId66"/>
        </w:object>
      </w:r>
    </w:p>
    <w:p w14:paraId="39E9DA44" w14:textId="77777777" w:rsidR="00427167" w:rsidRPr="00580BD2" w:rsidRDefault="00427167" w:rsidP="00427167">
      <w:pPr>
        <w:rPr>
          <w:rFonts w:cs="Arial"/>
          <w:sz w:val="24"/>
          <w:szCs w:val="24"/>
        </w:rPr>
      </w:pPr>
      <w:r w:rsidRPr="00580BD2">
        <w:rPr>
          <w:rFonts w:cs="Arial"/>
          <w:sz w:val="24"/>
          <w:szCs w:val="24"/>
        </w:rPr>
        <w:t>Source: Sandwell Family Information Service</w:t>
      </w:r>
    </w:p>
    <w:p w14:paraId="5B673E30" w14:textId="77777777" w:rsidR="00427167" w:rsidRPr="00580BD2" w:rsidRDefault="00427167" w:rsidP="00427167">
      <w:pPr>
        <w:rPr>
          <w:rFonts w:cstheme="majorHAnsi"/>
          <w:b/>
          <w:sz w:val="24"/>
          <w:szCs w:val="24"/>
          <w:u w:val="single"/>
        </w:rPr>
      </w:pPr>
    </w:p>
    <w:p w14:paraId="22C9AF53" w14:textId="47A566A7" w:rsidR="00427167" w:rsidRPr="00C96FEC" w:rsidRDefault="00003903" w:rsidP="005B1F6D">
      <w:pPr>
        <w:pStyle w:val="Heading2"/>
      </w:pPr>
      <w:bookmarkStart w:id="21" w:name="_Hlk13839170"/>
      <w:r>
        <w:t>W</w:t>
      </w:r>
      <w:r w:rsidR="00427167" w:rsidRPr="00C96FEC">
        <w:t xml:space="preserve">eight </w:t>
      </w:r>
      <w:r>
        <w:t xml:space="preserve">of </w:t>
      </w:r>
      <w:r w:rsidR="00982AA9">
        <w:t>4-5 Year</w:t>
      </w:r>
      <w:r w:rsidR="00427167" w:rsidRPr="00C96FEC">
        <w:t xml:space="preserve"> Olds</w:t>
      </w:r>
    </w:p>
    <w:bookmarkEnd w:id="21"/>
    <w:p w14:paraId="2E57CE9B" w14:textId="77777777" w:rsidR="00427167" w:rsidRPr="00CF5422" w:rsidRDefault="00427167" w:rsidP="00427167">
      <w:pPr>
        <w:rPr>
          <w:rFonts w:cstheme="minorHAnsi"/>
          <w:sz w:val="24"/>
          <w:szCs w:val="24"/>
        </w:rPr>
      </w:pPr>
      <w:r w:rsidRPr="00CF5422">
        <w:rPr>
          <w:rFonts w:cstheme="minorHAnsi"/>
          <w:sz w:val="24"/>
          <w:szCs w:val="24"/>
        </w:rPr>
        <w:t>Obesity is caused by a complex set of personal, social and environmental factors. Being overweight or obese can bring physical, social, emotional and psychosocial problems, which can lead to the onset of preventable long-term illness, stigma, discrimination, increased risk of hospitalisation and reduced life expectancy.</w:t>
      </w:r>
    </w:p>
    <w:p w14:paraId="799DE6C6" w14:textId="77777777" w:rsidR="00427167" w:rsidRPr="00CF5422" w:rsidRDefault="00427167" w:rsidP="00427167">
      <w:pPr>
        <w:rPr>
          <w:rFonts w:cstheme="minorHAnsi"/>
          <w:sz w:val="24"/>
          <w:szCs w:val="24"/>
        </w:rPr>
      </w:pPr>
      <w:r w:rsidRPr="00CF5422">
        <w:rPr>
          <w:rFonts w:cstheme="minorHAnsi"/>
          <w:sz w:val="24"/>
          <w:szCs w:val="24"/>
        </w:rPr>
        <w:t>The National Child Measurement Programme (NCMP) is an annual measure of the height and weight of school children which provides a detailed picture of the prevalence of child excess weight (overweight and obese) and obesity in children at reception age (4-5 year olds) and Year 6 (10-11 year olds).</w:t>
      </w:r>
    </w:p>
    <w:p w14:paraId="39AB2B4C" w14:textId="77777777" w:rsidR="00427167" w:rsidRDefault="00427167" w:rsidP="00427167">
      <w:pPr>
        <w:rPr>
          <w:rFonts w:eastAsia="Times New Roman" w:cstheme="minorHAnsi"/>
          <w:sz w:val="24"/>
          <w:szCs w:val="24"/>
          <w:lang w:eastAsia="en-GB"/>
        </w:rPr>
      </w:pPr>
      <w:r w:rsidRPr="00CF5422">
        <w:rPr>
          <w:rFonts w:eastAsia="Times New Roman" w:cstheme="minorHAnsi"/>
          <w:sz w:val="24"/>
          <w:szCs w:val="24"/>
          <w:lang w:eastAsia="en-GB"/>
        </w:rPr>
        <w:t xml:space="preserve">In terms of excess weight (children who are overweight or obese), at </w:t>
      </w:r>
      <w:r>
        <w:rPr>
          <w:rFonts w:eastAsia="Times New Roman" w:cstheme="minorHAnsi"/>
          <w:sz w:val="24"/>
          <w:szCs w:val="24"/>
          <w:lang w:eastAsia="en-GB"/>
        </w:rPr>
        <w:t>R</w:t>
      </w:r>
      <w:r w:rsidRPr="00CF5422">
        <w:rPr>
          <w:rFonts w:eastAsia="Times New Roman" w:cstheme="minorHAnsi"/>
          <w:sz w:val="24"/>
          <w:szCs w:val="24"/>
          <w:lang w:eastAsia="en-GB"/>
        </w:rPr>
        <w:t xml:space="preserve">eception age, Sandwell generally has a higher proportion of children who have excess weight, </w:t>
      </w:r>
      <w:r>
        <w:rPr>
          <w:rFonts w:eastAsia="Times New Roman" w:cstheme="minorHAnsi"/>
          <w:sz w:val="24"/>
          <w:szCs w:val="24"/>
          <w:lang w:eastAsia="en-GB"/>
        </w:rPr>
        <w:t>and this is significantly higher than the West Mi</w:t>
      </w:r>
      <w:r w:rsidRPr="00CF5422">
        <w:rPr>
          <w:rFonts w:eastAsia="Times New Roman" w:cstheme="minorHAnsi"/>
          <w:sz w:val="24"/>
          <w:szCs w:val="24"/>
          <w:lang w:eastAsia="en-GB"/>
        </w:rPr>
        <w:t>dlands and England averages.</w:t>
      </w:r>
    </w:p>
    <w:p w14:paraId="76A8D5B4" w14:textId="3BEBE852" w:rsidR="00427167" w:rsidRPr="00DD4EB7" w:rsidRDefault="00427167" w:rsidP="00B13D4A">
      <w:pPr>
        <w:pStyle w:val="ListParagraph"/>
        <w:numPr>
          <w:ilvl w:val="0"/>
          <w:numId w:val="11"/>
        </w:numPr>
        <w:rPr>
          <w:rFonts w:eastAsia="Times New Roman" w:cstheme="minorHAnsi"/>
          <w:sz w:val="24"/>
          <w:szCs w:val="24"/>
          <w:lang w:eastAsia="en-GB"/>
        </w:rPr>
      </w:pPr>
      <w:r w:rsidRPr="006B6029">
        <w:rPr>
          <w:rFonts w:cstheme="minorHAnsi"/>
          <w:sz w:val="24"/>
          <w:szCs w:val="24"/>
        </w:rPr>
        <w:t>201</w:t>
      </w:r>
      <w:r w:rsidR="006F05BB">
        <w:rPr>
          <w:rFonts w:cstheme="minorHAnsi"/>
          <w:sz w:val="24"/>
          <w:szCs w:val="24"/>
        </w:rPr>
        <w:t>9</w:t>
      </w:r>
      <w:r w:rsidRPr="006B6029">
        <w:rPr>
          <w:rFonts w:cstheme="minorHAnsi"/>
          <w:sz w:val="24"/>
          <w:szCs w:val="24"/>
        </w:rPr>
        <w:t>/</w:t>
      </w:r>
      <w:r w:rsidR="006F05BB">
        <w:rPr>
          <w:rFonts w:cstheme="minorHAnsi"/>
          <w:sz w:val="24"/>
          <w:szCs w:val="24"/>
        </w:rPr>
        <w:t>20</w:t>
      </w:r>
      <w:r w:rsidRPr="006B6029">
        <w:rPr>
          <w:rFonts w:cstheme="minorHAnsi"/>
          <w:sz w:val="24"/>
          <w:szCs w:val="24"/>
        </w:rPr>
        <w:t xml:space="preserve"> – 2</w:t>
      </w:r>
      <w:r w:rsidR="006A6094">
        <w:rPr>
          <w:rFonts w:cstheme="minorHAnsi"/>
          <w:sz w:val="24"/>
          <w:szCs w:val="24"/>
        </w:rPr>
        <w:t>5</w:t>
      </w:r>
      <w:r w:rsidRPr="006B6029">
        <w:rPr>
          <w:rFonts w:cstheme="minorHAnsi"/>
          <w:sz w:val="24"/>
          <w:szCs w:val="24"/>
        </w:rPr>
        <w:t>.</w:t>
      </w:r>
      <w:r w:rsidR="006A6094">
        <w:rPr>
          <w:rFonts w:cstheme="minorHAnsi"/>
          <w:sz w:val="24"/>
          <w:szCs w:val="24"/>
        </w:rPr>
        <w:t>1</w:t>
      </w:r>
      <w:r w:rsidRPr="006B6029">
        <w:rPr>
          <w:rFonts w:cstheme="minorHAnsi"/>
          <w:sz w:val="24"/>
          <w:szCs w:val="24"/>
        </w:rPr>
        <w:t xml:space="preserve">% of Sandwell </w:t>
      </w:r>
      <w:r>
        <w:rPr>
          <w:rFonts w:cstheme="minorHAnsi"/>
          <w:sz w:val="24"/>
          <w:szCs w:val="24"/>
        </w:rPr>
        <w:t xml:space="preserve">reception age </w:t>
      </w:r>
      <w:r w:rsidRPr="006B6029">
        <w:rPr>
          <w:rFonts w:cstheme="minorHAnsi"/>
          <w:sz w:val="24"/>
          <w:szCs w:val="24"/>
        </w:rPr>
        <w:t>children are overweight (including obesity); England (2</w:t>
      </w:r>
      <w:r w:rsidR="00922B00">
        <w:rPr>
          <w:rFonts w:cstheme="minorHAnsi"/>
          <w:sz w:val="24"/>
          <w:szCs w:val="24"/>
        </w:rPr>
        <w:t>3.0</w:t>
      </w:r>
      <w:r w:rsidRPr="006B6029">
        <w:rPr>
          <w:rFonts w:cstheme="minorHAnsi"/>
          <w:sz w:val="24"/>
          <w:szCs w:val="24"/>
        </w:rPr>
        <w:t>%); West Midlands (2</w:t>
      </w:r>
      <w:r w:rsidR="00922B00">
        <w:rPr>
          <w:rFonts w:cstheme="minorHAnsi"/>
          <w:sz w:val="24"/>
          <w:szCs w:val="24"/>
        </w:rPr>
        <w:t>4</w:t>
      </w:r>
      <w:r w:rsidRPr="006B6029">
        <w:rPr>
          <w:rFonts w:cstheme="minorHAnsi"/>
          <w:sz w:val="24"/>
          <w:szCs w:val="24"/>
        </w:rPr>
        <w:t>.</w:t>
      </w:r>
      <w:r w:rsidR="00922B00">
        <w:rPr>
          <w:rFonts w:cstheme="minorHAnsi"/>
          <w:sz w:val="24"/>
          <w:szCs w:val="24"/>
        </w:rPr>
        <w:t>6</w:t>
      </w:r>
      <w:r w:rsidRPr="006B6029">
        <w:rPr>
          <w:rFonts w:cstheme="minorHAnsi"/>
          <w:sz w:val="24"/>
          <w:szCs w:val="24"/>
        </w:rPr>
        <w:t>%)</w:t>
      </w:r>
      <w:r>
        <w:rPr>
          <w:rFonts w:cstheme="minorHAnsi"/>
          <w:sz w:val="24"/>
          <w:szCs w:val="24"/>
        </w:rPr>
        <w:t>.</w:t>
      </w:r>
    </w:p>
    <w:p w14:paraId="461B4517" w14:textId="77777777" w:rsidR="00427167" w:rsidRDefault="00427167" w:rsidP="00427167">
      <w:pPr>
        <w:rPr>
          <w:rFonts w:eastAsia="Times New Roman" w:cstheme="minorHAnsi"/>
          <w:sz w:val="24"/>
          <w:szCs w:val="24"/>
          <w:lang w:eastAsia="en-GB"/>
        </w:rPr>
      </w:pPr>
    </w:p>
    <w:p w14:paraId="1F365002" w14:textId="77777777" w:rsidR="00427167" w:rsidRDefault="00427167" w:rsidP="00427167">
      <w:pPr>
        <w:spacing w:after="160" w:line="259" w:lineRule="auto"/>
        <w:rPr>
          <w:rFonts w:eastAsia="Times New Roman" w:cstheme="minorHAnsi"/>
          <w:b/>
          <w:sz w:val="24"/>
          <w:szCs w:val="24"/>
          <w:lang w:eastAsia="en-GB"/>
        </w:rPr>
      </w:pPr>
      <w:r>
        <w:rPr>
          <w:rFonts w:eastAsia="Times New Roman" w:cstheme="minorHAnsi"/>
          <w:b/>
          <w:sz w:val="24"/>
          <w:szCs w:val="24"/>
          <w:lang w:eastAsia="en-GB"/>
        </w:rPr>
        <w:br w:type="page"/>
      </w:r>
    </w:p>
    <w:p w14:paraId="01A82F9A" w14:textId="4EC70E29" w:rsidR="00427167" w:rsidRPr="00DD4EB7" w:rsidRDefault="00427167" w:rsidP="00427167">
      <w:pPr>
        <w:rPr>
          <w:rFonts w:eastAsia="Times New Roman" w:cstheme="minorHAnsi"/>
          <w:b/>
          <w:sz w:val="24"/>
          <w:szCs w:val="24"/>
          <w:lang w:eastAsia="en-GB"/>
        </w:rPr>
      </w:pPr>
      <w:r w:rsidRPr="00DD4EB7">
        <w:rPr>
          <w:rFonts w:eastAsia="Times New Roman" w:cstheme="minorHAnsi"/>
          <w:b/>
          <w:sz w:val="24"/>
          <w:szCs w:val="24"/>
          <w:lang w:eastAsia="en-GB"/>
        </w:rPr>
        <w:t xml:space="preserve">Figure </w:t>
      </w:r>
      <w:r w:rsidR="00B72193" w:rsidRPr="00DD4EB7">
        <w:rPr>
          <w:rFonts w:eastAsia="Times New Roman" w:cstheme="minorHAnsi"/>
          <w:b/>
          <w:sz w:val="24"/>
          <w:szCs w:val="24"/>
          <w:lang w:eastAsia="en-GB"/>
        </w:rPr>
        <w:t>2.</w:t>
      </w:r>
      <w:r w:rsidR="00B72193">
        <w:rPr>
          <w:rFonts w:eastAsia="Times New Roman" w:cstheme="minorHAnsi"/>
          <w:b/>
          <w:sz w:val="24"/>
          <w:szCs w:val="24"/>
          <w:lang w:eastAsia="en-GB"/>
        </w:rPr>
        <w:t xml:space="preserve">20 </w:t>
      </w:r>
      <w:r w:rsidR="00B72193" w:rsidRPr="00B72193">
        <w:rPr>
          <w:rFonts w:eastAsia="Times New Roman" w:cstheme="minorHAnsi"/>
          <w:bCs/>
          <w:sz w:val="24"/>
          <w:szCs w:val="24"/>
          <w:lang w:eastAsia="en-GB"/>
        </w:rPr>
        <w:t>Reception: Prevalence of overweight (including obesity)</w:t>
      </w:r>
    </w:p>
    <w:p w14:paraId="2C36D660" w14:textId="37246E37" w:rsidR="00427167" w:rsidRDefault="00B83C08" w:rsidP="00427167">
      <w:pPr>
        <w:rPr>
          <w:rFonts w:eastAsia="Times New Roman" w:cstheme="minorHAnsi"/>
          <w:sz w:val="24"/>
          <w:szCs w:val="24"/>
          <w:lang w:eastAsia="en-GB"/>
        </w:rPr>
      </w:pPr>
      <w:r w:rsidRPr="00B83C08">
        <w:rPr>
          <w:rFonts w:eastAsia="Times New Roman" w:cstheme="minorHAnsi"/>
          <w:noProof/>
          <w:sz w:val="24"/>
          <w:szCs w:val="24"/>
          <w:lang w:eastAsia="en-GB"/>
        </w:rPr>
        <w:drawing>
          <wp:inline distT="0" distB="0" distL="0" distR="0" wp14:anchorId="0BA507E7" wp14:editId="21102B0D">
            <wp:extent cx="4643562" cy="2792002"/>
            <wp:effectExtent l="0" t="0" r="508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49143" cy="2795358"/>
                    </a:xfrm>
                    <a:prstGeom prst="rect">
                      <a:avLst/>
                    </a:prstGeom>
                  </pic:spPr>
                </pic:pic>
              </a:graphicData>
            </a:graphic>
          </wp:inline>
        </w:drawing>
      </w:r>
    </w:p>
    <w:p w14:paraId="4ECAF9E4" w14:textId="77777777" w:rsidR="00427167" w:rsidRPr="006B6029" w:rsidRDefault="00427167" w:rsidP="00427167">
      <w:pPr>
        <w:rPr>
          <w:rFonts w:eastAsia="Times New Roman" w:cstheme="minorHAnsi"/>
          <w:sz w:val="24"/>
          <w:szCs w:val="24"/>
          <w:lang w:eastAsia="en-GB"/>
        </w:rPr>
      </w:pPr>
      <w:r w:rsidRPr="00C96FEC">
        <w:rPr>
          <w:rFonts w:cstheme="majorHAnsi"/>
          <w:sz w:val="24"/>
          <w:szCs w:val="24"/>
        </w:rPr>
        <w:t>Source: Public Health England Profiles</w:t>
      </w:r>
    </w:p>
    <w:p w14:paraId="5BE17D13" w14:textId="77777777" w:rsidR="00427167" w:rsidRDefault="00427167" w:rsidP="00427167">
      <w:pPr>
        <w:rPr>
          <w:rFonts w:eastAsia="Times New Roman" w:cstheme="minorHAnsi"/>
          <w:sz w:val="24"/>
          <w:szCs w:val="24"/>
          <w:lang w:eastAsia="en-GB"/>
        </w:rPr>
      </w:pPr>
    </w:p>
    <w:p w14:paraId="748830F1" w14:textId="3AD19BC7" w:rsidR="00427167" w:rsidRPr="00CF5422" w:rsidRDefault="00427167" w:rsidP="00427167">
      <w:pPr>
        <w:rPr>
          <w:rFonts w:eastAsia="Times New Roman" w:cstheme="minorHAnsi"/>
          <w:sz w:val="24"/>
          <w:szCs w:val="24"/>
          <w:lang w:eastAsia="en-GB"/>
        </w:rPr>
      </w:pPr>
      <w:r w:rsidRPr="00CF5422">
        <w:rPr>
          <w:rFonts w:eastAsia="Times New Roman" w:cstheme="minorHAnsi"/>
          <w:sz w:val="24"/>
          <w:szCs w:val="24"/>
          <w:lang w:eastAsia="en-GB"/>
        </w:rPr>
        <w:t>The difference between Sandwell and the West Midlands and England averages is much wider when considering obesity. There has been a steady increase in the level of obesity among Reception age children in Sandwell. In 201</w:t>
      </w:r>
      <w:r w:rsidR="00B401D2">
        <w:rPr>
          <w:rFonts w:eastAsia="Times New Roman" w:cstheme="minorHAnsi"/>
          <w:sz w:val="24"/>
          <w:szCs w:val="24"/>
          <w:lang w:eastAsia="en-GB"/>
        </w:rPr>
        <w:t>9</w:t>
      </w:r>
      <w:r w:rsidRPr="00CF5422">
        <w:rPr>
          <w:rFonts w:eastAsia="Times New Roman" w:cstheme="minorHAnsi"/>
          <w:sz w:val="24"/>
          <w:szCs w:val="24"/>
          <w:lang w:eastAsia="en-GB"/>
        </w:rPr>
        <w:t>/</w:t>
      </w:r>
      <w:r w:rsidR="00B401D2">
        <w:rPr>
          <w:rFonts w:eastAsia="Times New Roman" w:cstheme="minorHAnsi"/>
          <w:sz w:val="24"/>
          <w:szCs w:val="24"/>
          <w:lang w:eastAsia="en-GB"/>
        </w:rPr>
        <w:t>20</w:t>
      </w:r>
      <w:r w:rsidRPr="00CF5422">
        <w:rPr>
          <w:rFonts w:eastAsia="Times New Roman" w:cstheme="minorHAnsi"/>
          <w:sz w:val="24"/>
          <w:szCs w:val="24"/>
          <w:lang w:eastAsia="en-GB"/>
        </w:rPr>
        <w:t xml:space="preserve">, the Sandwell figure now stands at more than </w:t>
      </w:r>
      <w:r w:rsidR="00B401D2">
        <w:rPr>
          <w:rFonts w:eastAsia="Times New Roman" w:cstheme="minorHAnsi"/>
          <w:sz w:val="24"/>
          <w:szCs w:val="24"/>
          <w:lang w:eastAsia="en-GB"/>
        </w:rPr>
        <w:t>2.1</w:t>
      </w:r>
      <w:r w:rsidRPr="00CF5422">
        <w:rPr>
          <w:rFonts w:eastAsia="Times New Roman" w:cstheme="minorHAnsi"/>
          <w:sz w:val="24"/>
          <w:szCs w:val="24"/>
          <w:lang w:eastAsia="en-GB"/>
        </w:rPr>
        <w:t xml:space="preserve"> percentage points higher than England, and </w:t>
      </w:r>
      <w:r w:rsidR="0056178B">
        <w:rPr>
          <w:rFonts w:eastAsia="Times New Roman" w:cstheme="minorHAnsi"/>
          <w:sz w:val="24"/>
          <w:szCs w:val="24"/>
          <w:lang w:eastAsia="en-GB"/>
        </w:rPr>
        <w:t>higher than</w:t>
      </w:r>
      <w:r w:rsidRPr="00CF5422">
        <w:rPr>
          <w:rFonts w:eastAsia="Times New Roman" w:cstheme="minorHAnsi"/>
          <w:sz w:val="24"/>
          <w:szCs w:val="24"/>
          <w:lang w:eastAsia="en-GB"/>
        </w:rPr>
        <w:t xml:space="preserve"> West Midlands.</w:t>
      </w:r>
    </w:p>
    <w:p w14:paraId="27CA9519" w14:textId="77777777" w:rsidR="00427167" w:rsidRPr="00CF5422" w:rsidRDefault="00427167" w:rsidP="00427167">
      <w:pPr>
        <w:rPr>
          <w:rFonts w:cstheme="minorHAnsi"/>
          <w:sz w:val="24"/>
          <w:szCs w:val="24"/>
        </w:rPr>
      </w:pPr>
      <w:r w:rsidRPr="00CF5422">
        <w:rPr>
          <w:rFonts w:cstheme="minorHAnsi"/>
          <w:sz w:val="24"/>
          <w:szCs w:val="24"/>
        </w:rPr>
        <w:t xml:space="preserve">Children living in the most deprived areas of Sandwell are generally more likely to be obese than those living in the least deprived areas, although there does appear to be an anomaly to this for children of Reception age. For 2013/14 - 2017/18, there is an unexpectedly high proportion of obese children living in the least deprived quintile of Lower Super Output Areas (the LSOAs within the best 20% nationally on the Index of Multiple Deprivation). </w:t>
      </w:r>
      <w:r>
        <w:rPr>
          <w:rFonts w:cstheme="minorHAnsi"/>
          <w:sz w:val="24"/>
          <w:szCs w:val="24"/>
        </w:rPr>
        <w:t>F</w:t>
      </w:r>
      <w:r w:rsidRPr="00CF5422">
        <w:rPr>
          <w:rFonts w:cstheme="minorHAnsi"/>
          <w:sz w:val="24"/>
          <w:szCs w:val="24"/>
        </w:rPr>
        <w:t>urther work may be needed to find out what is happening in these areas.</w:t>
      </w:r>
    </w:p>
    <w:p w14:paraId="21C6AA30" w14:textId="77777777" w:rsidR="00427167" w:rsidRPr="00CF5422" w:rsidRDefault="00427167" w:rsidP="00427167">
      <w:pPr>
        <w:rPr>
          <w:rFonts w:eastAsia="Times New Roman" w:cstheme="minorHAnsi"/>
          <w:sz w:val="24"/>
          <w:szCs w:val="24"/>
          <w:lang w:eastAsia="en-GB"/>
        </w:rPr>
      </w:pPr>
      <w:r w:rsidRPr="00CF5422">
        <w:rPr>
          <w:rFonts w:eastAsia="Times New Roman" w:cstheme="minorHAnsi"/>
          <w:sz w:val="24"/>
          <w:szCs w:val="24"/>
          <w:lang w:eastAsia="en-GB"/>
        </w:rPr>
        <w:t>Black children are more likely to be obese than Asian or White children</w:t>
      </w:r>
      <w:r>
        <w:rPr>
          <w:rFonts w:eastAsia="Times New Roman" w:cstheme="minorHAnsi"/>
          <w:sz w:val="24"/>
          <w:szCs w:val="24"/>
          <w:lang w:eastAsia="en-GB"/>
        </w:rPr>
        <w:t>:</w:t>
      </w:r>
    </w:p>
    <w:p w14:paraId="5D7BBF90" w14:textId="77777777" w:rsidR="00427167" w:rsidRPr="006B6029" w:rsidRDefault="00427167" w:rsidP="00B13D4A">
      <w:pPr>
        <w:pStyle w:val="ListParagraph"/>
        <w:numPr>
          <w:ilvl w:val="0"/>
          <w:numId w:val="9"/>
        </w:numPr>
        <w:rPr>
          <w:rFonts w:eastAsia="Times New Roman" w:cstheme="minorHAnsi"/>
          <w:sz w:val="24"/>
          <w:szCs w:val="24"/>
          <w:lang w:eastAsia="en-GB"/>
        </w:rPr>
      </w:pPr>
      <w:r w:rsidRPr="006B6029">
        <w:rPr>
          <w:rFonts w:eastAsia="Times New Roman" w:cstheme="minorHAnsi"/>
          <w:sz w:val="24"/>
          <w:szCs w:val="24"/>
          <w:lang w:eastAsia="en-GB"/>
        </w:rPr>
        <w:t>In 2013/14 – 2017/18, 13.9% of Black children in Reception are obese compared to 11.8% of White children and 11.5% Asian. However, there is a more marked difference for England overall, where there is a 6 percentage point difference between the figures for Black and White groups.</w:t>
      </w:r>
    </w:p>
    <w:p w14:paraId="6F70E621" w14:textId="5A644F6B" w:rsidR="00427167" w:rsidRDefault="00427167" w:rsidP="00427167">
      <w:pPr>
        <w:rPr>
          <w:rFonts w:cstheme="majorHAnsi"/>
          <w:b/>
          <w:sz w:val="24"/>
          <w:szCs w:val="24"/>
          <w:u w:val="single"/>
        </w:rPr>
      </w:pPr>
      <w:r>
        <w:rPr>
          <w:rFonts w:cstheme="majorHAnsi"/>
          <w:sz w:val="24"/>
          <w:szCs w:val="24"/>
        </w:rPr>
        <w:br/>
        <w:t>Figure 2.</w:t>
      </w:r>
      <w:r w:rsidR="00684A89">
        <w:rPr>
          <w:rFonts w:cstheme="majorHAnsi"/>
          <w:sz w:val="24"/>
          <w:szCs w:val="24"/>
        </w:rPr>
        <w:t>21</w:t>
      </w:r>
      <w:r>
        <w:rPr>
          <w:rFonts w:cstheme="majorHAnsi"/>
          <w:sz w:val="24"/>
          <w:szCs w:val="24"/>
        </w:rPr>
        <w:t xml:space="preserve"> </w:t>
      </w:r>
      <w:r w:rsidRPr="00585A22">
        <w:rPr>
          <w:rFonts w:cstheme="majorHAnsi"/>
          <w:sz w:val="24"/>
          <w:szCs w:val="24"/>
        </w:rPr>
        <w:t xml:space="preserve">provides data </w:t>
      </w:r>
      <w:r>
        <w:rPr>
          <w:rFonts w:cstheme="majorHAnsi"/>
          <w:sz w:val="24"/>
          <w:szCs w:val="24"/>
        </w:rPr>
        <w:t xml:space="preserve">on children with excess weight </w:t>
      </w:r>
      <w:r w:rsidRPr="00585A22">
        <w:rPr>
          <w:rFonts w:cstheme="majorHAnsi"/>
          <w:sz w:val="24"/>
          <w:szCs w:val="24"/>
        </w:rPr>
        <w:t>at a ward level.</w:t>
      </w:r>
      <w:r>
        <w:rPr>
          <w:rFonts w:cstheme="majorHAnsi"/>
          <w:sz w:val="24"/>
          <w:szCs w:val="24"/>
        </w:rPr>
        <w:t xml:space="preserve"> The wards with the highest levels of excess weight in Sandwell are Friar Park and Princes End, whilst the lowest is Abbey.</w:t>
      </w:r>
      <w:r>
        <w:rPr>
          <w:rFonts w:cstheme="majorHAnsi"/>
          <w:b/>
          <w:sz w:val="24"/>
          <w:szCs w:val="24"/>
          <w:u w:val="single"/>
        </w:rPr>
        <w:br w:type="page"/>
      </w:r>
    </w:p>
    <w:p w14:paraId="593972A1" w14:textId="50E310EE" w:rsidR="00427167" w:rsidRPr="00585A22" w:rsidRDefault="00427167" w:rsidP="00427167">
      <w:pPr>
        <w:rPr>
          <w:b/>
          <w:sz w:val="24"/>
          <w:szCs w:val="24"/>
        </w:rPr>
      </w:pPr>
      <w:r w:rsidRPr="00585A22">
        <w:rPr>
          <w:b/>
          <w:sz w:val="24"/>
          <w:szCs w:val="24"/>
        </w:rPr>
        <w:t>Figure 2.</w:t>
      </w:r>
      <w:r w:rsidR="00684A89">
        <w:rPr>
          <w:b/>
          <w:sz w:val="24"/>
          <w:szCs w:val="24"/>
        </w:rPr>
        <w:t>21</w:t>
      </w:r>
      <w:r w:rsidR="00D05BB1">
        <w:rPr>
          <w:b/>
          <w:sz w:val="24"/>
          <w:szCs w:val="24"/>
        </w:rPr>
        <w:t>:</w:t>
      </w:r>
      <w:r w:rsidRPr="00585A22">
        <w:rPr>
          <w:b/>
          <w:sz w:val="24"/>
          <w:szCs w:val="24"/>
        </w:rPr>
        <w:t xml:space="preserve"> Proportion (%) of </w:t>
      </w:r>
      <w:r>
        <w:rPr>
          <w:b/>
          <w:sz w:val="24"/>
          <w:szCs w:val="24"/>
        </w:rPr>
        <w:t>c</w:t>
      </w:r>
      <w:r w:rsidRPr="00585A22">
        <w:rPr>
          <w:b/>
          <w:sz w:val="24"/>
          <w:szCs w:val="24"/>
        </w:rPr>
        <w:t>hildren with Excess Weight</w:t>
      </w:r>
      <w:r>
        <w:rPr>
          <w:b/>
          <w:sz w:val="24"/>
          <w:szCs w:val="24"/>
        </w:rPr>
        <w:t>:</w:t>
      </w:r>
      <w:r w:rsidRPr="00585A22">
        <w:rPr>
          <w:b/>
          <w:sz w:val="24"/>
          <w:szCs w:val="24"/>
        </w:rPr>
        <w:t xml:space="preserve"> Reception </w:t>
      </w:r>
      <w:r>
        <w:rPr>
          <w:b/>
          <w:sz w:val="24"/>
          <w:szCs w:val="24"/>
        </w:rPr>
        <w:t>y</w:t>
      </w:r>
      <w:r w:rsidRPr="00585A22">
        <w:rPr>
          <w:b/>
          <w:sz w:val="24"/>
          <w:szCs w:val="24"/>
        </w:rPr>
        <w:t>ear by Ward (2015/16 - 17/18)</w:t>
      </w:r>
    </w:p>
    <w:p w14:paraId="0BEF6109" w14:textId="77777777" w:rsidR="00427167" w:rsidRDefault="00427167" w:rsidP="00427167">
      <w:pPr>
        <w:rPr>
          <w:i/>
        </w:rPr>
      </w:pPr>
      <w:r>
        <w:rPr>
          <w:i/>
        </w:rPr>
        <w:t xml:space="preserve">                      compared to Sandwell                                                compared to England</w:t>
      </w:r>
    </w:p>
    <w:p w14:paraId="796A41E0" w14:textId="77777777" w:rsidR="00427167" w:rsidRDefault="00427167" w:rsidP="00427167">
      <w:r>
        <w:rPr>
          <w:noProof/>
        </w:rPr>
        <w:drawing>
          <wp:inline distT="0" distB="0" distL="0" distR="0" wp14:anchorId="439AC56A" wp14:editId="1933E9A0">
            <wp:extent cx="2757600" cy="2836800"/>
            <wp:effectExtent l="19050" t="19050" r="24130" b="2095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57600" cy="2836800"/>
                    </a:xfrm>
                    <a:prstGeom prst="rect">
                      <a:avLst/>
                    </a:prstGeom>
                    <a:ln>
                      <a:solidFill>
                        <a:srgbClr val="000000"/>
                      </a:solidFill>
                    </a:ln>
                  </pic:spPr>
                </pic:pic>
              </a:graphicData>
            </a:graphic>
          </wp:inline>
        </w:drawing>
      </w:r>
      <w:r w:rsidRPr="007F7012">
        <w:rPr>
          <w:noProof/>
        </w:rPr>
        <w:drawing>
          <wp:inline distT="0" distB="0" distL="0" distR="0" wp14:anchorId="09F83190" wp14:editId="779659A4">
            <wp:extent cx="2757600" cy="2836800"/>
            <wp:effectExtent l="19050" t="19050" r="24130" b="2095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57600" cy="2836800"/>
                    </a:xfrm>
                    <a:prstGeom prst="rect">
                      <a:avLst/>
                    </a:prstGeom>
                    <a:ln>
                      <a:solidFill>
                        <a:srgbClr val="000000"/>
                      </a:solidFill>
                    </a:ln>
                  </pic:spPr>
                </pic:pic>
              </a:graphicData>
            </a:graphic>
          </wp:inline>
        </w:drawing>
      </w:r>
    </w:p>
    <w:p w14:paraId="7C6E23A2" w14:textId="77777777" w:rsidR="00427167" w:rsidRPr="009E2168" w:rsidRDefault="00427167" w:rsidP="00427167">
      <w:pPr>
        <w:spacing w:after="0" w:line="240" w:lineRule="auto"/>
        <w:rPr>
          <w:rFonts w:cstheme="minorHAnsi"/>
          <w:b/>
          <w:bCs/>
          <w:shd w:val="clear" w:color="auto" w:fill="FFFFFF"/>
        </w:rPr>
      </w:pPr>
      <w:r w:rsidRPr="00C93B4F">
        <w:rPr>
          <w:rFonts w:cstheme="minorHAnsi"/>
          <w:b/>
        </w:rPr>
        <w:t xml:space="preserve">Source: </w:t>
      </w:r>
      <w:r w:rsidRPr="00157389">
        <w:rPr>
          <w:rFonts w:cstheme="minorHAnsi"/>
        </w:rPr>
        <w:t>Public Health England Local Health Profiles</w:t>
      </w:r>
    </w:p>
    <w:p w14:paraId="285A0865" w14:textId="77777777" w:rsidR="00427167" w:rsidRDefault="00427167" w:rsidP="00427167">
      <w:pPr>
        <w:rPr>
          <w:rFonts w:cstheme="minorHAnsi"/>
        </w:rPr>
      </w:pPr>
      <w:r>
        <w:rPr>
          <w:rFonts w:cstheme="minorHAnsi"/>
        </w:rPr>
        <w:t>© Crown copyright and database rights 2019 Ordnance Survey Licence No 100032119</w:t>
      </w:r>
    </w:p>
    <w:p w14:paraId="2100DEFD" w14:textId="77777777" w:rsidR="00427167" w:rsidRDefault="00427167" w:rsidP="00427167">
      <w:pPr>
        <w:spacing w:after="0" w:line="240" w:lineRule="auto"/>
        <w:rPr>
          <w:rFonts w:cstheme="minorHAnsi"/>
        </w:rPr>
      </w:pPr>
      <w:bookmarkStart w:id="22" w:name="_Hlk17118241"/>
      <w:r w:rsidRPr="00D0795D">
        <w:rPr>
          <w:rFonts w:cstheme="minorHAnsi"/>
          <w:b/>
          <w:u w:val="single"/>
        </w:rPr>
        <w:t>Key</w:t>
      </w:r>
      <w:r>
        <w:rPr>
          <w:rFonts w:cstheme="minorHAnsi"/>
          <w:b/>
          <w:u w:val="single"/>
        </w:rPr>
        <w:t>:</w:t>
      </w:r>
      <w:r w:rsidRPr="00157389">
        <w:rPr>
          <w:rFonts w:cstheme="minorHAnsi"/>
          <w:b/>
        </w:rPr>
        <w:t xml:space="preserve"> </w:t>
      </w:r>
      <w:r>
        <w:rPr>
          <w:rFonts w:cstheme="minorHAnsi"/>
        </w:rPr>
        <w:t>the maps</w:t>
      </w:r>
      <w:r>
        <w:t xml:space="preserve"> above show if the p</w:t>
      </w:r>
      <w:r w:rsidRPr="00AB2B4C">
        <w:t xml:space="preserve">roportion of </w:t>
      </w:r>
      <w:r>
        <w:t>c</w:t>
      </w:r>
      <w:r w:rsidRPr="00AB2B4C">
        <w:t xml:space="preserve">hildren with </w:t>
      </w:r>
      <w:r>
        <w:t>e</w:t>
      </w:r>
      <w:r w:rsidRPr="00AB2B4C">
        <w:t xml:space="preserve">xcess </w:t>
      </w:r>
      <w:r>
        <w:t>w</w:t>
      </w:r>
      <w:r w:rsidRPr="00AB2B4C">
        <w:t xml:space="preserve">eight </w:t>
      </w:r>
      <w:r>
        <w:t xml:space="preserve">by ward is significantly different from either </w:t>
      </w:r>
      <w:r>
        <w:rPr>
          <w:rFonts w:cstheme="minorHAnsi"/>
        </w:rPr>
        <w:t xml:space="preserve">Sandwell or England averages </w:t>
      </w:r>
      <w:r>
        <w:t xml:space="preserve">- </w:t>
      </w:r>
      <w:r w:rsidRPr="00157389">
        <w:rPr>
          <w:rFonts w:cstheme="minorHAnsi"/>
          <w:color w:val="FF0000"/>
        </w:rPr>
        <w:t>Red</w:t>
      </w:r>
      <w:r w:rsidRPr="008E44C4">
        <w:rPr>
          <w:rFonts w:cstheme="minorHAnsi"/>
        </w:rPr>
        <w:t xml:space="preserve"> </w:t>
      </w:r>
      <w:r>
        <w:rPr>
          <w:rFonts w:cstheme="minorHAnsi"/>
        </w:rPr>
        <w:t>shading</w:t>
      </w:r>
      <w:r w:rsidRPr="008E44C4">
        <w:rPr>
          <w:rFonts w:cstheme="minorHAnsi"/>
        </w:rPr>
        <w:t xml:space="preserve"> – </w:t>
      </w:r>
      <w:r>
        <w:rPr>
          <w:rFonts w:cstheme="minorHAnsi"/>
        </w:rPr>
        <w:t>ward</w:t>
      </w:r>
      <w:r w:rsidRPr="008E44C4">
        <w:rPr>
          <w:rFonts w:cstheme="minorHAnsi"/>
        </w:rPr>
        <w:t xml:space="preserve"> significantly worse</w:t>
      </w:r>
      <w:r>
        <w:rPr>
          <w:rFonts w:cstheme="minorHAnsi"/>
        </w:rPr>
        <w:t xml:space="preserve">, </w:t>
      </w:r>
      <w:r w:rsidRPr="00157389">
        <w:rPr>
          <w:rFonts w:cstheme="minorHAnsi"/>
          <w:color w:val="ED7D31" w:themeColor="accent2"/>
        </w:rPr>
        <w:t>Amber</w:t>
      </w:r>
      <w:r w:rsidRPr="008E44C4">
        <w:rPr>
          <w:rFonts w:cstheme="minorHAnsi"/>
        </w:rPr>
        <w:t xml:space="preserve"> </w:t>
      </w:r>
      <w:r>
        <w:rPr>
          <w:rFonts w:cstheme="minorHAnsi"/>
        </w:rPr>
        <w:t>shading</w:t>
      </w:r>
      <w:r w:rsidRPr="008E44C4">
        <w:rPr>
          <w:rFonts w:cstheme="minorHAnsi"/>
        </w:rPr>
        <w:t xml:space="preserve"> - </w:t>
      </w:r>
      <w:r>
        <w:rPr>
          <w:rFonts w:cstheme="minorHAnsi"/>
        </w:rPr>
        <w:t xml:space="preserve">ward </w:t>
      </w:r>
      <w:r w:rsidRPr="008E44C4">
        <w:rPr>
          <w:rFonts w:cstheme="minorHAnsi"/>
        </w:rPr>
        <w:t xml:space="preserve">not </w:t>
      </w:r>
      <w:r>
        <w:rPr>
          <w:rFonts w:cstheme="minorHAnsi"/>
        </w:rPr>
        <w:t xml:space="preserve">significantly </w:t>
      </w:r>
      <w:r w:rsidRPr="008E44C4">
        <w:rPr>
          <w:rFonts w:cstheme="minorHAnsi"/>
        </w:rPr>
        <w:t xml:space="preserve">different </w:t>
      </w:r>
      <w:r>
        <w:rPr>
          <w:rFonts w:cstheme="minorHAnsi"/>
        </w:rPr>
        <w:t>&amp;</w:t>
      </w:r>
      <w:r w:rsidRPr="008E44C4">
        <w:rPr>
          <w:rFonts w:cstheme="minorHAnsi"/>
        </w:rPr>
        <w:t xml:space="preserve"> </w:t>
      </w:r>
      <w:r w:rsidRPr="00157389">
        <w:rPr>
          <w:rFonts w:cstheme="minorHAnsi"/>
          <w:color w:val="385623" w:themeColor="accent6" w:themeShade="80"/>
        </w:rPr>
        <w:t>Green</w:t>
      </w:r>
      <w:r>
        <w:rPr>
          <w:rFonts w:cstheme="minorHAnsi"/>
        </w:rPr>
        <w:t xml:space="preserve"> shading - ward significantly better. The chart below gives the key to the ward numbers on the map e.g. 6= Friar Park.</w:t>
      </w:r>
    </w:p>
    <w:p w14:paraId="397750A6" w14:textId="77777777" w:rsidR="00427167" w:rsidRDefault="00427167" w:rsidP="00427167">
      <w:pPr>
        <w:spacing w:after="0" w:line="240" w:lineRule="auto"/>
        <w:rPr>
          <w:rFonts w:cstheme="minorHAnsi"/>
        </w:rPr>
      </w:pPr>
    </w:p>
    <w:p w14:paraId="315DC7BF" w14:textId="77777777" w:rsidR="00427167" w:rsidRDefault="00427167" w:rsidP="00427167">
      <w:pPr>
        <w:spacing w:after="0" w:line="240" w:lineRule="auto"/>
        <w:rPr>
          <w:rFonts w:cstheme="minorHAnsi"/>
        </w:rPr>
      </w:pPr>
      <w:r>
        <w:rPr>
          <w:noProof/>
        </w:rPr>
        <mc:AlternateContent>
          <mc:Choice Requires="wps">
            <w:drawing>
              <wp:anchor distT="45720" distB="45720" distL="114300" distR="114300" simplePos="0" relativeHeight="251658241" behindDoc="0" locked="0" layoutInCell="1" allowOverlap="1" wp14:anchorId="2AB32C63" wp14:editId="5DF9E376">
                <wp:simplePos x="0" y="0"/>
                <wp:positionH relativeFrom="column">
                  <wp:posOffset>2921000</wp:posOffset>
                </wp:positionH>
                <wp:positionV relativeFrom="paragraph">
                  <wp:posOffset>21590</wp:posOffset>
                </wp:positionV>
                <wp:extent cx="2757600" cy="3600000"/>
                <wp:effectExtent l="0" t="0" r="2413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600" cy="3600000"/>
                        </a:xfrm>
                        <a:prstGeom prst="rect">
                          <a:avLst/>
                        </a:prstGeom>
                        <a:solidFill>
                          <a:srgbClr val="FFFFFF"/>
                        </a:solidFill>
                        <a:ln w="9525">
                          <a:solidFill>
                            <a:srgbClr val="000000"/>
                          </a:solidFill>
                          <a:miter lim="800000"/>
                          <a:headEnd/>
                          <a:tailEnd/>
                        </a:ln>
                      </wps:spPr>
                      <wps:txbx>
                        <w:txbxContent>
                          <w:p w14:paraId="4DEDB45E" w14:textId="77777777" w:rsidR="00BD6487" w:rsidRDefault="00BD6487" w:rsidP="00427167">
                            <w:pPr>
                              <w:spacing w:after="0" w:line="240" w:lineRule="auto"/>
                              <w:rPr>
                                <w:sz w:val="24"/>
                                <w:szCs w:val="24"/>
                              </w:rPr>
                            </w:pPr>
                            <w:r w:rsidRPr="0059384B">
                              <w:rPr>
                                <w:sz w:val="24"/>
                                <w:szCs w:val="24"/>
                              </w:rPr>
                              <w:t>In 2015/</w:t>
                            </w:r>
                            <w:r>
                              <w:rPr>
                                <w:sz w:val="24"/>
                                <w:szCs w:val="24"/>
                              </w:rPr>
                              <w:t>1</w:t>
                            </w:r>
                            <w:r w:rsidRPr="0059384B">
                              <w:rPr>
                                <w:sz w:val="24"/>
                                <w:szCs w:val="24"/>
                              </w:rPr>
                              <w:t>6-17/</w:t>
                            </w:r>
                            <w:r>
                              <w:rPr>
                                <w:sz w:val="24"/>
                                <w:szCs w:val="24"/>
                              </w:rPr>
                              <w:t>18, i</w:t>
                            </w:r>
                            <w:r w:rsidRPr="0059384B">
                              <w:rPr>
                                <w:sz w:val="24"/>
                                <w:szCs w:val="24"/>
                              </w:rPr>
                              <w:t xml:space="preserve">n all </w:t>
                            </w:r>
                            <w:r>
                              <w:rPr>
                                <w:sz w:val="24"/>
                                <w:szCs w:val="24"/>
                              </w:rPr>
                              <w:t xml:space="preserve">Sandwell </w:t>
                            </w:r>
                            <w:r w:rsidRPr="0059384B">
                              <w:rPr>
                                <w:sz w:val="24"/>
                                <w:szCs w:val="24"/>
                              </w:rPr>
                              <w:t xml:space="preserve">wards </w:t>
                            </w:r>
                            <w:r>
                              <w:rPr>
                                <w:sz w:val="24"/>
                                <w:szCs w:val="24"/>
                              </w:rPr>
                              <w:t>almost</w:t>
                            </w:r>
                            <w:r w:rsidRPr="0059384B">
                              <w:rPr>
                                <w:sz w:val="24"/>
                                <w:szCs w:val="24"/>
                              </w:rPr>
                              <w:t xml:space="preserve"> a fifth of Reception </w:t>
                            </w:r>
                            <w:r>
                              <w:rPr>
                                <w:sz w:val="24"/>
                                <w:szCs w:val="24"/>
                              </w:rPr>
                              <w:t>a</w:t>
                            </w:r>
                            <w:r w:rsidRPr="0059384B">
                              <w:rPr>
                                <w:sz w:val="24"/>
                                <w:szCs w:val="24"/>
                              </w:rPr>
                              <w:t xml:space="preserve">ge children were </w:t>
                            </w:r>
                            <w:r>
                              <w:rPr>
                                <w:sz w:val="24"/>
                                <w:szCs w:val="24"/>
                              </w:rPr>
                              <w:t>an e</w:t>
                            </w:r>
                            <w:r w:rsidRPr="0059384B">
                              <w:rPr>
                                <w:sz w:val="24"/>
                                <w:szCs w:val="24"/>
                              </w:rPr>
                              <w:t xml:space="preserve">xcess </w:t>
                            </w:r>
                            <w:r>
                              <w:rPr>
                                <w:sz w:val="24"/>
                                <w:szCs w:val="24"/>
                              </w:rPr>
                              <w:t>w</w:t>
                            </w:r>
                            <w:r w:rsidRPr="0059384B">
                              <w:rPr>
                                <w:sz w:val="24"/>
                                <w:szCs w:val="24"/>
                              </w:rPr>
                              <w:t>eight</w:t>
                            </w:r>
                            <w:r>
                              <w:rPr>
                                <w:sz w:val="24"/>
                                <w:szCs w:val="24"/>
                              </w:rPr>
                              <w:t>.</w:t>
                            </w:r>
                          </w:p>
                          <w:p w14:paraId="332D4C7F" w14:textId="77777777" w:rsidR="00BD6487" w:rsidRPr="0059384B" w:rsidRDefault="00BD6487" w:rsidP="00427167">
                            <w:pPr>
                              <w:spacing w:after="0" w:line="240" w:lineRule="auto"/>
                              <w:rPr>
                                <w:sz w:val="24"/>
                                <w:szCs w:val="24"/>
                              </w:rPr>
                            </w:pPr>
                          </w:p>
                          <w:p w14:paraId="6BDC6F83" w14:textId="77777777" w:rsidR="00BD6487" w:rsidRPr="0059384B" w:rsidRDefault="00BD6487" w:rsidP="00B13D4A">
                            <w:pPr>
                              <w:pStyle w:val="ListParagraph"/>
                              <w:numPr>
                                <w:ilvl w:val="0"/>
                                <w:numId w:val="15"/>
                              </w:numPr>
                              <w:spacing w:line="240" w:lineRule="auto"/>
                              <w:ind w:left="397" w:hanging="397"/>
                              <w:contextualSpacing w:val="0"/>
                              <w:rPr>
                                <w:sz w:val="24"/>
                                <w:szCs w:val="24"/>
                              </w:rPr>
                            </w:pPr>
                            <w:r w:rsidRPr="0059384B">
                              <w:rPr>
                                <w:sz w:val="24"/>
                                <w:szCs w:val="24"/>
                              </w:rPr>
                              <w:t xml:space="preserve">Compared to </w:t>
                            </w:r>
                            <w:r>
                              <w:rPr>
                                <w:sz w:val="24"/>
                                <w:szCs w:val="24"/>
                              </w:rPr>
                              <w:t xml:space="preserve">the </w:t>
                            </w:r>
                            <w:r w:rsidRPr="0059384B">
                              <w:rPr>
                                <w:sz w:val="24"/>
                                <w:szCs w:val="24"/>
                              </w:rPr>
                              <w:t>Sandwell</w:t>
                            </w:r>
                            <w:r>
                              <w:rPr>
                                <w:sz w:val="24"/>
                                <w:szCs w:val="24"/>
                              </w:rPr>
                              <w:t xml:space="preserve"> average, </w:t>
                            </w:r>
                            <w:r w:rsidRPr="0059384B">
                              <w:rPr>
                                <w:sz w:val="24"/>
                                <w:szCs w:val="24"/>
                              </w:rPr>
                              <w:t xml:space="preserve">two Sandwell wards (Friar Park &amp; Princes End) were statistically worse, </w:t>
                            </w:r>
                            <w:r>
                              <w:rPr>
                                <w:sz w:val="24"/>
                                <w:szCs w:val="24"/>
                              </w:rPr>
                              <w:t>21</w:t>
                            </w:r>
                            <w:r w:rsidRPr="0059384B">
                              <w:rPr>
                                <w:sz w:val="24"/>
                                <w:szCs w:val="24"/>
                              </w:rPr>
                              <w:t xml:space="preserve"> wards were statistically similar and one ward (Abbey) was statistically better</w:t>
                            </w:r>
                            <w:r>
                              <w:rPr>
                                <w:sz w:val="24"/>
                                <w:szCs w:val="24"/>
                              </w:rPr>
                              <w:t>.</w:t>
                            </w:r>
                            <w:r w:rsidRPr="0059384B">
                              <w:rPr>
                                <w:sz w:val="24"/>
                                <w:szCs w:val="24"/>
                              </w:rPr>
                              <w:t xml:space="preserve"> </w:t>
                            </w:r>
                          </w:p>
                          <w:p w14:paraId="02AEEA75" w14:textId="77777777" w:rsidR="00BD6487" w:rsidRPr="0059384B" w:rsidRDefault="00BD6487" w:rsidP="00B13D4A">
                            <w:pPr>
                              <w:pStyle w:val="ListParagraph"/>
                              <w:numPr>
                                <w:ilvl w:val="0"/>
                                <w:numId w:val="15"/>
                              </w:numPr>
                              <w:spacing w:line="240" w:lineRule="auto"/>
                              <w:ind w:left="397" w:hanging="397"/>
                              <w:contextualSpacing w:val="0"/>
                              <w:rPr>
                                <w:sz w:val="24"/>
                                <w:szCs w:val="24"/>
                              </w:rPr>
                            </w:pPr>
                            <w:r w:rsidRPr="0059384B">
                              <w:rPr>
                                <w:sz w:val="24"/>
                                <w:szCs w:val="24"/>
                              </w:rPr>
                              <w:t xml:space="preserve">Compared to </w:t>
                            </w:r>
                            <w:r>
                              <w:rPr>
                                <w:sz w:val="24"/>
                                <w:szCs w:val="24"/>
                              </w:rPr>
                              <w:t xml:space="preserve">the </w:t>
                            </w:r>
                            <w:r w:rsidRPr="0059384B">
                              <w:rPr>
                                <w:sz w:val="24"/>
                                <w:szCs w:val="24"/>
                              </w:rPr>
                              <w:t>England</w:t>
                            </w:r>
                            <w:r>
                              <w:rPr>
                                <w:sz w:val="24"/>
                                <w:szCs w:val="24"/>
                              </w:rPr>
                              <w:t xml:space="preserve"> average, </w:t>
                            </w:r>
                            <w:r w:rsidRPr="0059384B">
                              <w:rPr>
                                <w:sz w:val="24"/>
                                <w:szCs w:val="24"/>
                              </w:rPr>
                              <w:t xml:space="preserve">four Sandwell wards (Friar Park, Great Bridge, Greets Green &amp; </w:t>
                            </w:r>
                            <w:r>
                              <w:rPr>
                                <w:sz w:val="24"/>
                                <w:szCs w:val="24"/>
                              </w:rPr>
                              <w:t xml:space="preserve">Lyng, and </w:t>
                            </w:r>
                            <w:r w:rsidRPr="0059384B">
                              <w:rPr>
                                <w:sz w:val="24"/>
                                <w:szCs w:val="24"/>
                              </w:rPr>
                              <w:t xml:space="preserve"> Princes End) were statistically worse and the rest (</w:t>
                            </w:r>
                            <w:r>
                              <w:rPr>
                                <w:sz w:val="24"/>
                                <w:szCs w:val="24"/>
                              </w:rPr>
                              <w:t>20</w:t>
                            </w:r>
                            <w:r w:rsidRPr="0059384B">
                              <w:rPr>
                                <w:sz w:val="24"/>
                                <w:szCs w:val="24"/>
                              </w:rPr>
                              <w:t xml:space="preserve"> wards) were statistically similar</w:t>
                            </w:r>
                            <w:r>
                              <w:rPr>
                                <w:sz w:val="24"/>
                                <w:szCs w:val="24"/>
                              </w:rPr>
                              <w:t>.</w:t>
                            </w:r>
                          </w:p>
                          <w:p w14:paraId="0B653358" w14:textId="77777777" w:rsidR="00BD6487" w:rsidRPr="00FB47A0" w:rsidRDefault="00BD6487" w:rsidP="00427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5AFB2DF6">
              <v:shapetype id="_x0000_t202" coordsize="21600,21600" o:spt="202" path="m,l,21600r21600,l21600,xe" w14:anchorId="2AB32C63">
                <v:stroke joinstyle="miter"/>
                <v:path gradientshapeok="t" o:connecttype="rect"/>
              </v:shapetype>
              <v:shape id="Text Box 2" style="position:absolute;margin-left:230pt;margin-top:1.7pt;width:217.15pt;height:283.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">
                <v:textbox>
                  <w:txbxContent>
                    <w:p w:rsidR="00BD6487" w:rsidP="00427167" w:rsidRDefault="00BD6487" w14:paraId="0AB3E58D" w14:textId="77777777">
                      <w:pPr>
                        <w:spacing w:after="0" w:line="240" w:lineRule="auto"/>
                        <w:rPr>
                          <w:sz w:val="24"/>
                          <w:szCs w:val="24"/>
                        </w:rPr>
                      </w:pPr>
                      <w:r w:rsidRPr="0059384B">
                        <w:rPr>
                          <w:sz w:val="24"/>
                          <w:szCs w:val="24"/>
                        </w:rPr>
                        <w:t>In 2015/</w:t>
                      </w:r>
                      <w:r>
                        <w:rPr>
                          <w:sz w:val="24"/>
                          <w:szCs w:val="24"/>
                        </w:rPr>
                        <w:t>1</w:t>
                      </w:r>
                      <w:r w:rsidRPr="0059384B">
                        <w:rPr>
                          <w:sz w:val="24"/>
                          <w:szCs w:val="24"/>
                        </w:rPr>
                        <w:t>6-17/</w:t>
                      </w:r>
                      <w:r>
                        <w:rPr>
                          <w:sz w:val="24"/>
                          <w:szCs w:val="24"/>
                        </w:rPr>
                        <w:t>18, i</w:t>
                      </w:r>
                      <w:r w:rsidRPr="0059384B">
                        <w:rPr>
                          <w:sz w:val="24"/>
                          <w:szCs w:val="24"/>
                        </w:rPr>
                        <w:t xml:space="preserve">n all </w:t>
                      </w:r>
                      <w:r>
                        <w:rPr>
                          <w:sz w:val="24"/>
                          <w:szCs w:val="24"/>
                        </w:rPr>
                        <w:t xml:space="preserve">Sandwell </w:t>
                      </w:r>
                      <w:r w:rsidRPr="0059384B">
                        <w:rPr>
                          <w:sz w:val="24"/>
                          <w:szCs w:val="24"/>
                        </w:rPr>
                        <w:t xml:space="preserve">wards </w:t>
                      </w:r>
                      <w:r>
                        <w:rPr>
                          <w:sz w:val="24"/>
                          <w:szCs w:val="24"/>
                        </w:rPr>
                        <w:t>almost</w:t>
                      </w:r>
                      <w:r w:rsidRPr="0059384B">
                        <w:rPr>
                          <w:sz w:val="24"/>
                          <w:szCs w:val="24"/>
                        </w:rPr>
                        <w:t xml:space="preserve"> a fifth of Reception </w:t>
                      </w:r>
                      <w:r>
                        <w:rPr>
                          <w:sz w:val="24"/>
                          <w:szCs w:val="24"/>
                        </w:rPr>
                        <w:t>a</w:t>
                      </w:r>
                      <w:r w:rsidRPr="0059384B">
                        <w:rPr>
                          <w:sz w:val="24"/>
                          <w:szCs w:val="24"/>
                        </w:rPr>
                        <w:t xml:space="preserve">ge children were </w:t>
                      </w:r>
                      <w:r>
                        <w:rPr>
                          <w:sz w:val="24"/>
                          <w:szCs w:val="24"/>
                        </w:rPr>
                        <w:t>an e</w:t>
                      </w:r>
                      <w:r w:rsidRPr="0059384B">
                        <w:rPr>
                          <w:sz w:val="24"/>
                          <w:szCs w:val="24"/>
                        </w:rPr>
                        <w:t xml:space="preserve">xcess </w:t>
                      </w:r>
                      <w:r>
                        <w:rPr>
                          <w:sz w:val="24"/>
                          <w:szCs w:val="24"/>
                        </w:rPr>
                        <w:t>w</w:t>
                      </w:r>
                      <w:r w:rsidRPr="0059384B">
                        <w:rPr>
                          <w:sz w:val="24"/>
                          <w:szCs w:val="24"/>
                        </w:rPr>
                        <w:t>eight</w:t>
                      </w:r>
                      <w:r>
                        <w:rPr>
                          <w:sz w:val="24"/>
                          <w:szCs w:val="24"/>
                        </w:rPr>
                        <w:t>.</w:t>
                      </w:r>
                    </w:p>
                    <w:p w:rsidRPr="0059384B" w:rsidR="00BD6487" w:rsidP="00427167" w:rsidRDefault="00BD6487" w14:paraId="672A6659" w14:textId="77777777">
                      <w:pPr>
                        <w:spacing w:after="0" w:line="240" w:lineRule="auto"/>
                        <w:rPr>
                          <w:sz w:val="24"/>
                          <w:szCs w:val="24"/>
                        </w:rPr>
                      </w:pPr>
                    </w:p>
                    <w:p w:rsidRPr="0059384B" w:rsidR="00BD6487" w:rsidP="00B13D4A" w:rsidRDefault="00BD6487" w14:paraId="43B9E87F" w14:textId="77777777">
                      <w:pPr>
                        <w:pStyle w:val="ListParagraph"/>
                        <w:numPr>
                          <w:ilvl w:val="0"/>
                          <w:numId w:val="15"/>
                        </w:numPr>
                        <w:spacing w:line="240" w:lineRule="auto"/>
                        <w:ind w:left="397" w:hanging="397"/>
                        <w:contextualSpacing w:val="0"/>
                        <w:rPr>
                          <w:sz w:val="24"/>
                          <w:szCs w:val="24"/>
                        </w:rPr>
                      </w:pPr>
                      <w:r w:rsidRPr="0059384B">
                        <w:rPr>
                          <w:sz w:val="24"/>
                          <w:szCs w:val="24"/>
                        </w:rPr>
                        <w:t xml:space="preserve">Compared to </w:t>
                      </w:r>
                      <w:r>
                        <w:rPr>
                          <w:sz w:val="24"/>
                          <w:szCs w:val="24"/>
                        </w:rPr>
                        <w:t xml:space="preserve">the </w:t>
                      </w:r>
                      <w:r w:rsidRPr="0059384B">
                        <w:rPr>
                          <w:sz w:val="24"/>
                          <w:szCs w:val="24"/>
                        </w:rPr>
                        <w:t>Sandwell</w:t>
                      </w:r>
                      <w:r>
                        <w:rPr>
                          <w:sz w:val="24"/>
                          <w:szCs w:val="24"/>
                        </w:rPr>
                        <w:t xml:space="preserve"> average, </w:t>
                      </w:r>
                      <w:r w:rsidRPr="0059384B">
                        <w:rPr>
                          <w:sz w:val="24"/>
                          <w:szCs w:val="24"/>
                        </w:rPr>
                        <w:t xml:space="preserve">two Sandwell wards (Friar Park &amp; Princes End) were statistically worse, </w:t>
                      </w:r>
                      <w:r>
                        <w:rPr>
                          <w:sz w:val="24"/>
                          <w:szCs w:val="24"/>
                        </w:rPr>
                        <w:t>21</w:t>
                      </w:r>
                      <w:r w:rsidRPr="0059384B">
                        <w:rPr>
                          <w:sz w:val="24"/>
                          <w:szCs w:val="24"/>
                        </w:rPr>
                        <w:t xml:space="preserve"> wards were statistically similar and one ward (Abbey) was statistically better</w:t>
                      </w:r>
                      <w:r>
                        <w:rPr>
                          <w:sz w:val="24"/>
                          <w:szCs w:val="24"/>
                        </w:rPr>
                        <w:t>.</w:t>
                      </w:r>
                      <w:r w:rsidRPr="0059384B">
                        <w:rPr>
                          <w:sz w:val="24"/>
                          <w:szCs w:val="24"/>
                        </w:rPr>
                        <w:t xml:space="preserve"> </w:t>
                      </w:r>
                    </w:p>
                    <w:p w:rsidRPr="0059384B" w:rsidR="00BD6487" w:rsidP="00B13D4A" w:rsidRDefault="00BD6487" w14:paraId="46C61B60" w14:textId="77777777">
                      <w:pPr>
                        <w:pStyle w:val="ListParagraph"/>
                        <w:numPr>
                          <w:ilvl w:val="0"/>
                          <w:numId w:val="15"/>
                        </w:numPr>
                        <w:spacing w:line="240" w:lineRule="auto"/>
                        <w:ind w:left="397" w:hanging="397"/>
                        <w:contextualSpacing w:val="0"/>
                        <w:rPr>
                          <w:sz w:val="24"/>
                          <w:szCs w:val="24"/>
                        </w:rPr>
                      </w:pPr>
                      <w:r w:rsidRPr="0059384B">
                        <w:rPr>
                          <w:sz w:val="24"/>
                          <w:szCs w:val="24"/>
                        </w:rPr>
                        <w:t xml:space="preserve">Compared to </w:t>
                      </w:r>
                      <w:r>
                        <w:rPr>
                          <w:sz w:val="24"/>
                          <w:szCs w:val="24"/>
                        </w:rPr>
                        <w:t xml:space="preserve">the </w:t>
                      </w:r>
                      <w:r w:rsidRPr="0059384B">
                        <w:rPr>
                          <w:sz w:val="24"/>
                          <w:szCs w:val="24"/>
                        </w:rPr>
                        <w:t>England</w:t>
                      </w:r>
                      <w:r>
                        <w:rPr>
                          <w:sz w:val="24"/>
                          <w:szCs w:val="24"/>
                        </w:rPr>
                        <w:t xml:space="preserve"> average, </w:t>
                      </w:r>
                      <w:r w:rsidRPr="0059384B">
                        <w:rPr>
                          <w:sz w:val="24"/>
                          <w:szCs w:val="24"/>
                        </w:rPr>
                        <w:t xml:space="preserve">four Sandwell wards (Friar Park, Great Bridge, Greets Green &amp; </w:t>
                      </w:r>
                      <w:r>
                        <w:rPr>
                          <w:sz w:val="24"/>
                          <w:szCs w:val="24"/>
                        </w:rPr>
                        <w:t xml:space="preserve">Lyng, and </w:t>
                      </w:r>
                      <w:r w:rsidRPr="0059384B">
                        <w:rPr>
                          <w:sz w:val="24"/>
                          <w:szCs w:val="24"/>
                        </w:rPr>
                        <w:t xml:space="preserve"> Princes End) were statistically worse and the rest (</w:t>
                      </w:r>
                      <w:r>
                        <w:rPr>
                          <w:sz w:val="24"/>
                          <w:szCs w:val="24"/>
                        </w:rPr>
                        <w:t>20</w:t>
                      </w:r>
                      <w:r w:rsidRPr="0059384B">
                        <w:rPr>
                          <w:sz w:val="24"/>
                          <w:szCs w:val="24"/>
                        </w:rPr>
                        <w:t xml:space="preserve"> wards) were statistically similar</w:t>
                      </w:r>
                      <w:r>
                        <w:rPr>
                          <w:sz w:val="24"/>
                          <w:szCs w:val="24"/>
                        </w:rPr>
                        <w:t>.</w:t>
                      </w:r>
                    </w:p>
                    <w:p w:rsidRPr="00FB47A0" w:rsidR="00BD6487" w:rsidP="00427167" w:rsidRDefault="00BD6487" w14:paraId="0A37501D" w14:textId="77777777"/>
                  </w:txbxContent>
                </v:textbox>
                <w10:wrap type="square"/>
              </v:shape>
            </w:pict>
          </mc:Fallback>
        </mc:AlternateContent>
      </w:r>
      <w:r>
        <w:rPr>
          <w:rFonts w:cstheme="minorHAnsi"/>
          <w:noProof/>
        </w:rPr>
        <w:drawing>
          <wp:inline distT="0" distB="0" distL="0" distR="0" wp14:anchorId="2ED17860" wp14:editId="5697FB82">
            <wp:extent cx="2757600" cy="3600000"/>
            <wp:effectExtent l="19050" t="19050" r="24130" b="1968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7600" cy="3600000"/>
                    </a:xfrm>
                    <a:prstGeom prst="rect">
                      <a:avLst/>
                    </a:prstGeom>
                    <a:noFill/>
                    <a:ln>
                      <a:solidFill>
                        <a:srgbClr val="000000"/>
                      </a:solidFill>
                    </a:ln>
                  </pic:spPr>
                </pic:pic>
              </a:graphicData>
            </a:graphic>
          </wp:inline>
        </w:drawing>
      </w:r>
    </w:p>
    <w:bookmarkEnd w:id="22"/>
    <w:p w14:paraId="75C4C340" w14:textId="77777777" w:rsidR="00427167" w:rsidRDefault="00427167" w:rsidP="00427167">
      <w:pPr>
        <w:spacing w:after="0" w:line="240" w:lineRule="auto"/>
        <w:rPr>
          <w:rFonts w:cstheme="minorHAnsi"/>
          <w:b/>
          <w:color w:val="ED7D31" w:themeColor="accent2"/>
        </w:rPr>
      </w:pPr>
      <w:r>
        <w:rPr>
          <w:rFonts w:cstheme="minorHAnsi"/>
          <w:b/>
          <w:color w:val="ED7D31" w:themeColor="accent2"/>
        </w:rPr>
        <w:t xml:space="preserve">                                                                                                                        </w:t>
      </w:r>
    </w:p>
    <w:p w14:paraId="1883586D" w14:textId="77777777" w:rsidR="00427167" w:rsidRPr="00AC7E6C" w:rsidRDefault="00427167" w:rsidP="00427167">
      <w:pPr>
        <w:spacing w:after="0" w:line="240" w:lineRule="auto"/>
        <w:rPr>
          <w:rFonts w:cstheme="minorHAnsi"/>
          <w:bCs/>
          <w:shd w:val="clear" w:color="auto" w:fill="FFFFFF"/>
        </w:rPr>
      </w:pPr>
      <w:r w:rsidRPr="00C93B4F">
        <w:rPr>
          <w:rFonts w:cstheme="minorHAnsi"/>
          <w:b/>
        </w:rPr>
        <w:t xml:space="preserve">Source: </w:t>
      </w:r>
      <w:r w:rsidRPr="00157389">
        <w:rPr>
          <w:rFonts w:cstheme="minorHAnsi"/>
        </w:rPr>
        <w:t>Public Health England Local Health Profiles</w:t>
      </w:r>
    </w:p>
    <w:p w14:paraId="02810822" w14:textId="77777777" w:rsidR="00003903" w:rsidRDefault="00003903" w:rsidP="00003903">
      <w:pPr>
        <w:pStyle w:val="Heading1"/>
      </w:pPr>
      <w:bookmarkStart w:id="23" w:name="_Hlk13839252"/>
      <w:r w:rsidRPr="00C96FEC">
        <w:t xml:space="preserve">Vulnerable Children </w:t>
      </w:r>
      <w:bookmarkEnd w:id="23"/>
    </w:p>
    <w:p w14:paraId="2B21BFE4" w14:textId="77777777" w:rsidR="00003903" w:rsidRDefault="00003903" w:rsidP="005B1F6D">
      <w:pPr>
        <w:pStyle w:val="Heading2"/>
      </w:pPr>
      <w:r>
        <w:t>Key Points</w:t>
      </w:r>
    </w:p>
    <w:p w14:paraId="48CB68DE" w14:textId="27B0F392" w:rsidR="00003903" w:rsidRPr="00400BCB" w:rsidRDefault="00003903" w:rsidP="00B13D4A">
      <w:pPr>
        <w:pStyle w:val="ListParagraph"/>
        <w:numPr>
          <w:ilvl w:val="0"/>
          <w:numId w:val="27"/>
        </w:numPr>
        <w:ind w:left="714" w:hanging="357"/>
        <w:contextualSpacing w:val="0"/>
        <w:rPr>
          <w:rFonts w:cstheme="majorHAnsi"/>
          <w:sz w:val="24"/>
          <w:szCs w:val="24"/>
          <w:u w:val="single"/>
        </w:rPr>
      </w:pPr>
      <w:r w:rsidRPr="00400BCB">
        <w:rPr>
          <w:rFonts w:cs="Arial"/>
          <w:sz w:val="24"/>
          <w:szCs w:val="24"/>
        </w:rPr>
        <w:t>In total there were 3485 Early Help Episodes in 2018/19 in Sandwell - of these, 1090 (376.2 per 10,000) were for 0-5 year olds.</w:t>
      </w:r>
      <w:r w:rsidR="007039CE">
        <w:rPr>
          <w:rFonts w:cs="Arial"/>
          <w:sz w:val="24"/>
          <w:szCs w:val="24"/>
        </w:rPr>
        <w:t xml:space="preserve"> [The Early Help System records data in an episodic format. A family can have multiple Early Help episodes but only one at any given point in time].</w:t>
      </w:r>
    </w:p>
    <w:p w14:paraId="3E82F1BA" w14:textId="77777777" w:rsidR="00003903" w:rsidRPr="00400BCB" w:rsidRDefault="00003903" w:rsidP="00B13D4A">
      <w:pPr>
        <w:pStyle w:val="ListParagraph"/>
        <w:numPr>
          <w:ilvl w:val="0"/>
          <w:numId w:val="27"/>
        </w:numPr>
        <w:ind w:left="714" w:hanging="357"/>
        <w:contextualSpacing w:val="0"/>
        <w:rPr>
          <w:rFonts w:cstheme="majorHAnsi"/>
          <w:sz w:val="24"/>
          <w:szCs w:val="24"/>
          <w:u w:val="single"/>
        </w:rPr>
      </w:pPr>
      <w:r w:rsidRPr="00400BCB">
        <w:rPr>
          <w:rFonts w:cstheme="majorHAnsi"/>
          <w:sz w:val="24"/>
          <w:szCs w:val="24"/>
        </w:rPr>
        <w:t>Sandwell had a rate of 473.5 children in need per 10,000 children (age 0-17) as at 31</w:t>
      </w:r>
      <w:r w:rsidRPr="00400BCB">
        <w:rPr>
          <w:rFonts w:cstheme="majorHAnsi"/>
          <w:sz w:val="24"/>
          <w:szCs w:val="24"/>
          <w:vertAlign w:val="superscript"/>
        </w:rPr>
        <w:t>st</w:t>
      </w:r>
      <w:r w:rsidRPr="00400BCB">
        <w:rPr>
          <w:rFonts w:cstheme="majorHAnsi"/>
          <w:sz w:val="24"/>
          <w:szCs w:val="24"/>
        </w:rPr>
        <w:t xml:space="preserve"> March 2019.</w:t>
      </w:r>
    </w:p>
    <w:p w14:paraId="408047AF" w14:textId="77777777" w:rsidR="00003903" w:rsidRPr="00400BCB" w:rsidRDefault="00003903" w:rsidP="00B13D4A">
      <w:pPr>
        <w:pStyle w:val="ListParagraph"/>
        <w:numPr>
          <w:ilvl w:val="0"/>
          <w:numId w:val="27"/>
        </w:numPr>
        <w:ind w:left="714" w:hanging="357"/>
        <w:contextualSpacing w:val="0"/>
        <w:rPr>
          <w:rFonts w:cstheme="majorHAnsi"/>
          <w:sz w:val="24"/>
          <w:szCs w:val="24"/>
          <w:u w:val="single"/>
        </w:rPr>
      </w:pPr>
      <w:r w:rsidRPr="00400BCB">
        <w:rPr>
          <w:rFonts w:cstheme="majorHAnsi"/>
          <w:sz w:val="24"/>
          <w:szCs w:val="24"/>
        </w:rPr>
        <w:t xml:space="preserve">Sandwell had a rate of 71 per 10,000 children (age 0-17) on a child protection plan in March 2019. This rate has increased since 2014/15, but there was a large fall over the most recent year.  </w:t>
      </w:r>
      <w:r w:rsidRPr="00400BCB">
        <w:rPr>
          <w:rFonts w:cs="Arial"/>
          <w:sz w:val="24"/>
          <w:szCs w:val="24"/>
        </w:rPr>
        <w:t>As at March 2019, 259 children aged 5 &amp; under were subject to a Child Protection Plan.</w:t>
      </w:r>
    </w:p>
    <w:p w14:paraId="144AD99F" w14:textId="77777777" w:rsidR="00003903" w:rsidRPr="00400BCB" w:rsidRDefault="00003903" w:rsidP="00B13D4A">
      <w:pPr>
        <w:pStyle w:val="ListParagraph"/>
        <w:numPr>
          <w:ilvl w:val="0"/>
          <w:numId w:val="27"/>
        </w:numPr>
        <w:ind w:left="714" w:hanging="357"/>
        <w:contextualSpacing w:val="0"/>
        <w:rPr>
          <w:rFonts w:cstheme="majorHAnsi"/>
          <w:sz w:val="24"/>
          <w:szCs w:val="24"/>
          <w:u w:val="single"/>
        </w:rPr>
      </w:pPr>
      <w:r w:rsidRPr="00400BCB">
        <w:rPr>
          <w:rFonts w:cs="Arial"/>
          <w:sz w:val="24"/>
          <w:szCs w:val="24"/>
        </w:rPr>
        <w:t>In 2018/19, Sandwell has 109.0 per 10,000 c</w:t>
      </w:r>
      <w:r w:rsidRPr="00400BCB">
        <w:rPr>
          <w:rFonts w:cstheme="majorHAnsi"/>
          <w:sz w:val="24"/>
          <w:szCs w:val="24"/>
        </w:rPr>
        <w:t>hildren in care</w:t>
      </w:r>
      <w:r w:rsidRPr="00400BCB">
        <w:rPr>
          <w:rFonts w:cs="Arial"/>
          <w:sz w:val="24"/>
          <w:szCs w:val="24"/>
        </w:rPr>
        <w:t xml:space="preserve"> age under 18 years, and there has been a 18.5% increase since 2017/18.</w:t>
      </w:r>
    </w:p>
    <w:p w14:paraId="168B6276" w14:textId="77777777" w:rsidR="00003903" w:rsidRPr="00400BCB" w:rsidRDefault="00003903" w:rsidP="00B13D4A">
      <w:pPr>
        <w:pStyle w:val="ListParagraph"/>
        <w:numPr>
          <w:ilvl w:val="0"/>
          <w:numId w:val="27"/>
        </w:numPr>
        <w:ind w:left="714" w:hanging="357"/>
        <w:contextualSpacing w:val="0"/>
        <w:rPr>
          <w:sz w:val="24"/>
          <w:szCs w:val="24"/>
        </w:rPr>
      </w:pPr>
      <w:r w:rsidRPr="00400BCB">
        <w:rPr>
          <w:rFonts w:cs="Arial"/>
          <w:sz w:val="24"/>
          <w:szCs w:val="24"/>
        </w:rPr>
        <w:t>There were 50 child deaths reported to Sandwell Child Death Overview Panel (CDOP) in 2018-2019.  8 of these were deemed as unexpected.</w:t>
      </w:r>
    </w:p>
    <w:p w14:paraId="7C4CF718" w14:textId="77777777" w:rsidR="00003903" w:rsidRPr="00400BCB" w:rsidRDefault="00003903" w:rsidP="00B13D4A">
      <w:pPr>
        <w:pStyle w:val="ListParagraph"/>
        <w:numPr>
          <w:ilvl w:val="0"/>
          <w:numId w:val="27"/>
        </w:numPr>
        <w:ind w:left="714" w:hanging="357"/>
        <w:contextualSpacing w:val="0"/>
        <w:rPr>
          <w:sz w:val="24"/>
          <w:szCs w:val="24"/>
        </w:rPr>
      </w:pPr>
      <w:r w:rsidRPr="00400BCB">
        <w:rPr>
          <w:sz w:val="24"/>
          <w:szCs w:val="24"/>
        </w:rPr>
        <w:t>389 children aged 0-5 were known to Sandwell Inclusion Support Early Years (ISEY) and Child Development Centre (CDC)</w:t>
      </w:r>
      <w:r>
        <w:t xml:space="preserve"> </w:t>
      </w:r>
      <w:r w:rsidRPr="00400BCB">
        <w:rPr>
          <w:sz w:val="24"/>
          <w:szCs w:val="24"/>
        </w:rPr>
        <w:t xml:space="preserve">services with two thirds of the ISEY caseload for boys. Over 50% of the children known to ISEY aged 0-5; have </w:t>
      </w:r>
      <w:r w:rsidRPr="00400BCB">
        <w:rPr>
          <w:rFonts w:eastAsiaTheme="minorHAnsi"/>
          <w:sz w:val="24"/>
          <w:szCs w:val="24"/>
        </w:rPr>
        <w:t xml:space="preserve">speech, language or </w:t>
      </w:r>
      <w:r w:rsidRPr="00400BCB">
        <w:rPr>
          <w:sz w:val="24"/>
          <w:szCs w:val="24"/>
        </w:rPr>
        <w:t>communication needs.</w:t>
      </w:r>
    </w:p>
    <w:p w14:paraId="2FB056B2" w14:textId="77777777" w:rsidR="00003903" w:rsidRPr="00400BCB" w:rsidRDefault="00003903" w:rsidP="00B13D4A">
      <w:pPr>
        <w:pStyle w:val="ListParagraph"/>
        <w:numPr>
          <w:ilvl w:val="0"/>
          <w:numId w:val="27"/>
        </w:numPr>
        <w:ind w:left="714" w:hanging="357"/>
        <w:contextualSpacing w:val="0"/>
        <w:rPr>
          <w:rFonts w:eastAsiaTheme="minorHAnsi"/>
          <w:sz w:val="24"/>
          <w:szCs w:val="24"/>
        </w:rPr>
      </w:pPr>
      <w:r w:rsidRPr="00400BCB">
        <w:rPr>
          <w:sz w:val="24"/>
          <w:szCs w:val="24"/>
        </w:rPr>
        <w:t xml:space="preserve">In 2018-19 Tipton town had the highest rate in Sandwell for SEND. Oldbury has continued over the past five years to have higher rates than Sandwell overall. </w:t>
      </w:r>
    </w:p>
    <w:p w14:paraId="1AFAB1A0" w14:textId="77777777" w:rsidR="00003903" w:rsidRPr="00400BCB" w:rsidRDefault="00003903" w:rsidP="00B13D4A">
      <w:pPr>
        <w:pStyle w:val="ListParagraph"/>
        <w:numPr>
          <w:ilvl w:val="0"/>
          <w:numId w:val="27"/>
        </w:numPr>
        <w:ind w:left="714" w:hanging="357"/>
        <w:contextualSpacing w:val="0"/>
        <w:rPr>
          <w:rFonts w:cstheme="minorHAnsi"/>
          <w:sz w:val="24"/>
          <w:szCs w:val="24"/>
        </w:rPr>
      </w:pPr>
      <w:r w:rsidRPr="00400BCB">
        <w:rPr>
          <w:sz w:val="24"/>
          <w:szCs w:val="24"/>
        </w:rPr>
        <w:t>Tipton has the highest rate of children with Education Health Care Plans in Sandwell.</w:t>
      </w:r>
    </w:p>
    <w:p w14:paraId="1E7CFB21" w14:textId="77777777" w:rsidR="00003903" w:rsidRPr="00400BCB" w:rsidRDefault="00003903" w:rsidP="00B13D4A">
      <w:pPr>
        <w:pStyle w:val="ListParagraph"/>
        <w:numPr>
          <w:ilvl w:val="0"/>
          <w:numId w:val="27"/>
        </w:numPr>
        <w:ind w:left="714" w:hanging="357"/>
        <w:contextualSpacing w:val="0"/>
        <w:rPr>
          <w:sz w:val="24"/>
          <w:szCs w:val="24"/>
        </w:rPr>
      </w:pPr>
      <w:r w:rsidRPr="00400BCB">
        <w:rPr>
          <w:sz w:val="24"/>
          <w:szCs w:val="24"/>
        </w:rPr>
        <w:t>In 2018-2019, there were 37 children aged 0-5 referred for visual impairments. Data from the last 4 years shows a decline in the number of children being referred from 55 in 2015-2016 to 37 in 2018-19. The majority of the referrals for vision impairment are for children aged under 2 years, and most are received from health services.</w:t>
      </w:r>
    </w:p>
    <w:p w14:paraId="3BBAD6B6" w14:textId="77777777" w:rsidR="00003903" w:rsidRPr="00400BCB" w:rsidRDefault="00003903" w:rsidP="00B13D4A">
      <w:pPr>
        <w:pStyle w:val="ListParagraph"/>
        <w:numPr>
          <w:ilvl w:val="0"/>
          <w:numId w:val="27"/>
        </w:numPr>
        <w:ind w:left="714" w:hanging="357"/>
        <w:contextualSpacing w:val="0"/>
        <w:rPr>
          <w:sz w:val="24"/>
          <w:szCs w:val="24"/>
        </w:rPr>
      </w:pPr>
      <w:r w:rsidRPr="00400BCB">
        <w:rPr>
          <w:sz w:val="24"/>
          <w:szCs w:val="24"/>
        </w:rPr>
        <w:t>Sandwell has had an increase in the number of children being referred for hearing impairment.  Hearing impairment is more prevalent in boys than girls in Sandwell.  Recent years have seen a change in the age groups being referred with a higher proportion of referrals coming for children aged 3-5 years old.</w:t>
      </w:r>
    </w:p>
    <w:p w14:paraId="09CBE707" w14:textId="77777777" w:rsidR="00003903" w:rsidRPr="00400BCB" w:rsidRDefault="00003903" w:rsidP="00B13D4A">
      <w:pPr>
        <w:pStyle w:val="ListParagraph"/>
        <w:numPr>
          <w:ilvl w:val="0"/>
          <w:numId w:val="27"/>
        </w:numPr>
        <w:ind w:left="714" w:hanging="357"/>
        <w:contextualSpacing w:val="0"/>
        <w:rPr>
          <w:sz w:val="24"/>
          <w:szCs w:val="24"/>
        </w:rPr>
      </w:pPr>
      <w:r w:rsidRPr="00400BCB">
        <w:rPr>
          <w:sz w:val="24"/>
          <w:szCs w:val="24"/>
        </w:rPr>
        <w:t>1.9 children aged 0-5 per every 1000 child is diagnosed with Autism Spectrum Disorder (ASD).  ASD is more prevalent in boys than girls. The highest rate is seen in Rowley Regis town.</w:t>
      </w:r>
    </w:p>
    <w:p w14:paraId="6E6AA206" w14:textId="77777777" w:rsidR="00003903" w:rsidRPr="00400BCB" w:rsidRDefault="00003903" w:rsidP="00B13D4A">
      <w:pPr>
        <w:pStyle w:val="ListParagraph"/>
        <w:numPr>
          <w:ilvl w:val="0"/>
          <w:numId w:val="27"/>
        </w:numPr>
        <w:ind w:left="714" w:hanging="357"/>
        <w:contextualSpacing w:val="0"/>
        <w:rPr>
          <w:sz w:val="24"/>
          <w:szCs w:val="24"/>
        </w:rPr>
      </w:pPr>
      <w:r w:rsidRPr="00400BCB">
        <w:rPr>
          <w:rFonts w:cs="Arial"/>
          <w:sz w:val="24"/>
          <w:szCs w:val="24"/>
        </w:rPr>
        <w:t>In 2018/19, there were 4,818 referrals to the Children’s Therapy Service in Sandwell. Of these, 1,252 (26%) were for children aged 0-5.</w:t>
      </w:r>
    </w:p>
    <w:p w14:paraId="0BD6C003" w14:textId="77777777" w:rsidR="00003903" w:rsidRDefault="00003903" w:rsidP="005B1F6D">
      <w:pPr>
        <w:pStyle w:val="Heading2"/>
        <w:rPr>
          <w:rFonts w:eastAsiaTheme="minorHAnsi"/>
        </w:rPr>
      </w:pPr>
      <w:r>
        <w:rPr>
          <w:rFonts w:eastAsiaTheme="minorHAnsi"/>
        </w:rPr>
        <w:t>Introduction</w:t>
      </w:r>
    </w:p>
    <w:p w14:paraId="4890E212" w14:textId="77777777" w:rsidR="00003903" w:rsidRPr="009A297E" w:rsidRDefault="00003903" w:rsidP="00003903">
      <w:pPr>
        <w:autoSpaceDE w:val="0"/>
        <w:autoSpaceDN w:val="0"/>
        <w:adjustRightInd w:val="0"/>
        <w:spacing w:after="0" w:line="240" w:lineRule="auto"/>
        <w:rPr>
          <w:rFonts w:eastAsiaTheme="minorHAnsi" w:cstheme="minorHAnsi"/>
          <w:color w:val="000000"/>
          <w:sz w:val="24"/>
          <w:szCs w:val="24"/>
        </w:rPr>
      </w:pPr>
      <w:r w:rsidRPr="009A297E">
        <w:rPr>
          <w:rFonts w:eastAsiaTheme="minorHAnsi" w:cstheme="minorHAnsi"/>
          <w:color w:val="000000"/>
          <w:sz w:val="24"/>
          <w:szCs w:val="24"/>
        </w:rPr>
        <w:t xml:space="preserve">Nothing is more important than children’s welfare. Children who need help and protection deserve high quality and effective support as soon as a need is identified. </w:t>
      </w:r>
    </w:p>
    <w:p w14:paraId="793DA21B" w14:textId="77777777" w:rsidR="00003903" w:rsidRPr="009A297E" w:rsidRDefault="00003903" w:rsidP="00003903">
      <w:pPr>
        <w:autoSpaceDE w:val="0"/>
        <w:autoSpaceDN w:val="0"/>
        <w:adjustRightInd w:val="0"/>
        <w:spacing w:after="0" w:line="240" w:lineRule="auto"/>
        <w:rPr>
          <w:rFonts w:eastAsiaTheme="minorHAnsi" w:cstheme="minorHAnsi"/>
          <w:color w:val="000000"/>
          <w:sz w:val="24"/>
          <w:szCs w:val="24"/>
        </w:rPr>
      </w:pPr>
      <w:r w:rsidRPr="009A297E">
        <w:rPr>
          <w:rFonts w:eastAsiaTheme="minorHAnsi" w:cstheme="minorHAnsi"/>
          <w:color w:val="000000"/>
          <w:sz w:val="24"/>
          <w:szCs w:val="24"/>
        </w:rPr>
        <w:t xml:space="preserve"> </w:t>
      </w:r>
    </w:p>
    <w:p w14:paraId="4C80D048" w14:textId="77777777" w:rsidR="00003903" w:rsidRDefault="00003903" w:rsidP="00003903">
      <w:pPr>
        <w:autoSpaceDE w:val="0"/>
        <w:autoSpaceDN w:val="0"/>
        <w:adjustRightInd w:val="0"/>
        <w:spacing w:after="0" w:line="240" w:lineRule="auto"/>
        <w:rPr>
          <w:rFonts w:eastAsiaTheme="minorHAnsi" w:cstheme="minorHAnsi"/>
          <w:color w:val="000000"/>
          <w:sz w:val="24"/>
          <w:szCs w:val="24"/>
        </w:rPr>
      </w:pPr>
      <w:r w:rsidRPr="009A297E">
        <w:rPr>
          <w:rFonts w:eastAsiaTheme="minorHAnsi" w:cstheme="minorHAnsi"/>
          <w:color w:val="000000"/>
          <w:sz w:val="24"/>
          <w:szCs w:val="24"/>
        </w:rPr>
        <w:t xml:space="preserve">Whilst it is parents and carers who have primary care for their children, local authorities, working with partner organisations and agencies, have specific duties to safeguard and promote the welfare of all children in their area. The Children Acts of 1989 and 2004 set out specific duties: section 17 of the Children Act 1989 puts a duty on the local authority to provide services to children in need in their area, regardless of where they are found; section 47 of the same Act requires local authorities to undertake enquiries if they believe a child has suffered or is likely to suffer significant harm. </w:t>
      </w:r>
    </w:p>
    <w:p w14:paraId="04C33858" w14:textId="77777777" w:rsidR="00003903" w:rsidRPr="009A297E" w:rsidRDefault="00003903" w:rsidP="00003903">
      <w:pPr>
        <w:autoSpaceDE w:val="0"/>
        <w:autoSpaceDN w:val="0"/>
        <w:adjustRightInd w:val="0"/>
        <w:spacing w:after="0" w:line="240" w:lineRule="auto"/>
        <w:rPr>
          <w:rFonts w:eastAsiaTheme="minorHAnsi" w:cstheme="minorHAnsi"/>
          <w:color w:val="000000"/>
          <w:sz w:val="24"/>
          <w:szCs w:val="24"/>
        </w:rPr>
      </w:pPr>
    </w:p>
    <w:p w14:paraId="505547CF" w14:textId="77777777" w:rsidR="00003903" w:rsidRDefault="00003903" w:rsidP="00003903">
      <w:pPr>
        <w:autoSpaceDE w:val="0"/>
        <w:autoSpaceDN w:val="0"/>
        <w:adjustRightInd w:val="0"/>
        <w:spacing w:after="0" w:line="240" w:lineRule="auto"/>
        <w:rPr>
          <w:rFonts w:eastAsiaTheme="minorHAnsi" w:cstheme="minorHAnsi"/>
          <w:color w:val="000000"/>
          <w:sz w:val="24"/>
          <w:szCs w:val="24"/>
        </w:rPr>
      </w:pPr>
      <w:r w:rsidRPr="009A297E">
        <w:rPr>
          <w:rFonts w:eastAsiaTheme="minorHAnsi" w:cstheme="minorHAnsi"/>
          <w:color w:val="000000"/>
          <w:sz w:val="24"/>
          <w:szCs w:val="24"/>
        </w:rPr>
        <w:t xml:space="preserve">These duties placed on the local authority can only be discharged with the full co-operation of other partners, many of whom have individual duties when carrying out their functions under section 11 of the Children Act 2004. </w:t>
      </w:r>
      <w:r>
        <w:rPr>
          <w:rFonts w:eastAsiaTheme="minorHAnsi" w:cstheme="minorHAnsi"/>
          <w:color w:val="000000"/>
          <w:sz w:val="24"/>
          <w:szCs w:val="24"/>
        </w:rPr>
        <w:t>T</w:t>
      </w:r>
      <w:r w:rsidRPr="009A297E">
        <w:rPr>
          <w:rFonts w:eastAsiaTheme="minorHAnsi" w:cstheme="minorHAnsi"/>
          <w:color w:val="000000"/>
          <w:sz w:val="24"/>
          <w:szCs w:val="24"/>
        </w:rPr>
        <w:t>he local authority is under a duty to make arrangements to promote co-operation between itself and organisations and agencies to improve the wellbeing of local children</w:t>
      </w:r>
      <w:r>
        <w:rPr>
          <w:rFonts w:eastAsiaTheme="minorHAnsi" w:cstheme="minorHAnsi"/>
          <w:color w:val="000000"/>
          <w:sz w:val="24"/>
          <w:szCs w:val="24"/>
        </w:rPr>
        <w:t xml:space="preserve"> - t</w:t>
      </w:r>
      <w:r w:rsidRPr="009A297E">
        <w:rPr>
          <w:rFonts w:eastAsiaTheme="minorHAnsi" w:cstheme="minorHAnsi"/>
          <w:color w:val="000000"/>
          <w:sz w:val="24"/>
          <w:szCs w:val="24"/>
        </w:rPr>
        <w:t xml:space="preserve">his co-operation should exist and be effective at all levels of an organisation, from strategic level through to operational delivery. </w:t>
      </w:r>
    </w:p>
    <w:p w14:paraId="72B0A0BF" w14:textId="77777777" w:rsidR="00003903" w:rsidRPr="009A297E" w:rsidRDefault="00003903" w:rsidP="00003903">
      <w:pPr>
        <w:autoSpaceDE w:val="0"/>
        <w:autoSpaceDN w:val="0"/>
        <w:adjustRightInd w:val="0"/>
        <w:spacing w:after="0" w:line="240" w:lineRule="auto"/>
        <w:rPr>
          <w:rFonts w:eastAsiaTheme="minorHAnsi" w:cstheme="minorHAnsi"/>
          <w:color w:val="000000"/>
          <w:sz w:val="24"/>
          <w:szCs w:val="24"/>
        </w:rPr>
      </w:pPr>
    </w:p>
    <w:p w14:paraId="7D13A356" w14:textId="77777777" w:rsidR="00003903" w:rsidRPr="009A297E" w:rsidRDefault="00003903" w:rsidP="00003903">
      <w:pPr>
        <w:autoSpaceDE w:val="0"/>
        <w:autoSpaceDN w:val="0"/>
        <w:adjustRightInd w:val="0"/>
        <w:spacing w:after="0" w:line="240" w:lineRule="auto"/>
        <w:rPr>
          <w:rFonts w:eastAsiaTheme="minorHAnsi" w:cstheme="minorHAnsi"/>
          <w:color w:val="000000"/>
          <w:sz w:val="24"/>
          <w:szCs w:val="24"/>
        </w:rPr>
      </w:pPr>
      <w:r w:rsidRPr="009A297E">
        <w:rPr>
          <w:rFonts w:eastAsiaTheme="minorHAnsi" w:cstheme="minorHAnsi"/>
          <w:color w:val="000000"/>
          <w:sz w:val="24"/>
          <w:szCs w:val="24"/>
        </w:rPr>
        <w:t xml:space="preserve">The Children Act 2004, as amended by the Children and Social Work Act 2017, strengthens this already important relationship by placing new duties on key agencies in a local area. Specifically the police, clinical commissioning groups and the local authority are under a duty to make arrangements to work together, and with other partners locally, to safeguard and promote the welfare of all children in their area. </w:t>
      </w:r>
      <w:r>
        <w:rPr>
          <w:rFonts w:eastAsiaTheme="minorHAnsi" w:cstheme="minorHAnsi"/>
          <w:color w:val="000000"/>
          <w:sz w:val="24"/>
          <w:szCs w:val="24"/>
        </w:rPr>
        <w:t xml:space="preserve">In Sandwell, this is done through the </w:t>
      </w:r>
      <w:r w:rsidRPr="004B385C">
        <w:rPr>
          <w:rFonts w:cstheme="minorHAnsi"/>
          <w:color w:val="333333"/>
          <w:sz w:val="24"/>
          <w:szCs w:val="24"/>
          <w:lang w:val="en"/>
        </w:rPr>
        <w:t>Sandwell Children’s Safeguarding Partnership.</w:t>
      </w:r>
    </w:p>
    <w:p w14:paraId="756E266E" w14:textId="77777777" w:rsidR="00003903" w:rsidRDefault="00003903" w:rsidP="00003903">
      <w:pPr>
        <w:autoSpaceDE w:val="0"/>
        <w:autoSpaceDN w:val="0"/>
        <w:adjustRightInd w:val="0"/>
        <w:spacing w:after="0" w:line="240" w:lineRule="auto"/>
        <w:rPr>
          <w:rFonts w:eastAsiaTheme="minorHAnsi" w:cstheme="minorHAnsi"/>
          <w:color w:val="000000"/>
          <w:sz w:val="24"/>
          <w:szCs w:val="24"/>
        </w:rPr>
      </w:pPr>
    </w:p>
    <w:p w14:paraId="1DC54479" w14:textId="77777777" w:rsidR="00003903" w:rsidRPr="009A297E" w:rsidRDefault="00003903" w:rsidP="00003903">
      <w:pPr>
        <w:autoSpaceDE w:val="0"/>
        <w:autoSpaceDN w:val="0"/>
        <w:adjustRightInd w:val="0"/>
        <w:spacing w:after="0" w:line="240" w:lineRule="auto"/>
        <w:rPr>
          <w:rFonts w:eastAsiaTheme="minorHAnsi" w:cstheme="minorHAnsi"/>
          <w:color w:val="000000"/>
          <w:sz w:val="24"/>
          <w:szCs w:val="24"/>
        </w:rPr>
      </w:pPr>
      <w:r w:rsidRPr="009A297E">
        <w:rPr>
          <w:rFonts w:eastAsiaTheme="minorHAnsi" w:cstheme="minorHAnsi"/>
          <w:color w:val="000000"/>
          <w:sz w:val="24"/>
          <w:szCs w:val="24"/>
        </w:rPr>
        <w:t xml:space="preserve">Everyone who comes into contact with children and families has a role to play. </w:t>
      </w:r>
    </w:p>
    <w:p w14:paraId="33E088D6" w14:textId="77777777" w:rsidR="00003903" w:rsidRDefault="00003903" w:rsidP="00003903">
      <w:pPr>
        <w:autoSpaceDE w:val="0"/>
        <w:autoSpaceDN w:val="0"/>
        <w:adjustRightInd w:val="0"/>
        <w:spacing w:after="0" w:line="240" w:lineRule="auto"/>
        <w:rPr>
          <w:rFonts w:eastAsiaTheme="minorHAnsi" w:cstheme="minorHAnsi"/>
          <w:color w:val="000000"/>
          <w:sz w:val="24"/>
          <w:szCs w:val="24"/>
        </w:rPr>
      </w:pPr>
    </w:p>
    <w:p w14:paraId="47EE3A08" w14:textId="77777777" w:rsidR="00003903" w:rsidRDefault="00003903" w:rsidP="00003903">
      <w:pPr>
        <w:rPr>
          <w:sz w:val="24"/>
          <w:szCs w:val="24"/>
        </w:rPr>
      </w:pPr>
      <w:r w:rsidRPr="00AC7536">
        <w:rPr>
          <w:sz w:val="24"/>
          <w:szCs w:val="24"/>
        </w:rPr>
        <w:t>Safeguarding is the action that is taken to promote the welfare of children and protect them from harm.</w:t>
      </w:r>
      <w:r>
        <w:rPr>
          <w:sz w:val="24"/>
          <w:szCs w:val="24"/>
        </w:rPr>
        <w:t xml:space="preserve"> </w:t>
      </w:r>
      <w:r w:rsidRPr="00AC7536">
        <w:rPr>
          <w:sz w:val="24"/>
          <w:szCs w:val="24"/>
        </w:rPr>
        <w:t>Safeguarding means:</w:t>
      </w:r>
    </w:p>
    <w:p w14:paraId="193518E7" w14:textId="77777777" w:rsidR="00003903" w:rsidRPr="00AC7536" w:rsidRDefault="00003903" w:rsidP="00B13D4A">
      <w:pPr>
        <w:pStyle w:val="ListParagraph"/>
        <w:numPr>
          <w:ilvl w:val="0"/>
          <w:numId w:val="10"/>
        </w:numPr>
        <w:rPr>
          <w:sz w:val="24"/>
          <w:szCs w:val="24"/>
        </w:rPr>
      </w:pPr>
      <w:r w:rsidRPr="00AC7536">
        <w:rPr>
          <w:sz w:val="24"/>
          <w:szCs w:val="24"/>
        </w:rPr>
        <w:t>protecting children from abuse and maltreatment</w:t>
      </w:r>
    </w:p>
    <w:p w14:paraId="25092126" w14:textId="77777777" w:rsidR="00003903" w:rsidRPr="00AC7536" w:rsidRDefault="00003903" w:rsidP="00B13D4A">
      <w:pPr>
        <w:pStyle w:val="ListParagraph"/>
        <w:numPr>
          <w:ilvl w:val="0"/>
          <w:numId w:val="10"/>
        </w:numPr>
        <w:rPr>
          <w:sz w:val="24"/>
          <w:szCs w:val="24"/>
        </w:rPr>
      </w:pPr>
      <w:r w:rsidRPr="00AC7536">
        <w:rPr>
          <w:sz w:val="24"/>
          <w:szCs w:val="24"/>
        </w:rPr>
        <w:t>preventing harm to children’s health or development</w:t>
      </w:r>
    </w:p>
    <w:p w14:paraId="6A49705D" w14:textId="77777777" w:rsidR="00003903" w:rsidRPr="00DA3BEF" w:rsidRDefault="00003903" w:rsidP="00B13D4A">
      <w:pPr>
        <w:pStyle w:val="ListParagraph"/>
        <w:numPr>
          <w:ilvl w:val="0"/>
          <w:numId w:val="10"/>
        </w:numPr>
        <w:autoSpaceDE w:val="0"/>
        <w:autoSpaceDN w:val="0"/>
        <w:adjustRightInd w:val="0"/>
        <w:spacing w:after="0" w:line="240" w:lineRule="auto"/>
        <w:rPr>
          <w:rFonts w:eastAsiaTheme="minorHAnsi" w:cstheme="minorHAnsi"/>
          <w:color w:val="000000"/>
          <w:sz w:val="24"/>
          <w:szCs w:val="24"/>
        </w:rPr>
      </w:pPr>
      <w:r w:rsidRPr="00DA3BEF">
        <w:rPr>
          <w:sz w:val="24"/>
          <w:szCs w:val="24"/>
        </w:rPr>
        <w:t>ensuring children grow up with the prov</w:t>
      </w:r>
      <w:r>
        <w:rPr>
          <w:sz w:val="24"/>
          <w:szCs w:val="24"/>
        </w:rPr>
        <w:t>ision of safe and effective care</w:t>
      </w:r>
    </w:p>
    <w:p w14:paraId="1E689D84" w14:textId="77777777" w:rsidR="00003903" w:rsidRPr="00DA3BEF" w:rsidRDefault="00003903" w:rsidP="00B13D4A">
      <w:pPr>
        <w:pStyle w:val="ListParagraph"/>
        <w:numPr>
          <w:ilvl w:val="0"/>
          <w:numId w:val="10"/>
        </w:numPr>
        <w:autoSpaceDE w:val="0"/>
        <w:autoSpaceDN w:val="0"/>
        <w:adjustRightInd w:val="0"/>
        <w:spacing w:after="0" w:line="240" w:lineRule="auto"/>
        <w:rPr>
          <w:rFonts w:eastAsiaTheme="minorHAnsi" w:cstheme="minorHAnsi"/>
          <w:color w:val="000000"/>
          <w:sz w:val="24"/>
          <w:szCs w:val="24"/>
        </w:rPr>
      </w:pPr>
      <w:r w:rsidRPr="00DA3BEF">
        <w:rPr>
          <w:sz w:val="24"/>
          <w:szCs w:val="24"/>
        </w:rPr>
        <w:t>taking action to enable all children and young people to have the best outcomes.</w:t>
      </w:r>
      <w:r w:rsidRPr="00DA3BEF">
        <w:rPr>
          <w:rFonts w:eastAsiaTheme="minorHAnsi" w:cstheme="minorHAnsi"/>
          <w:color w:val="000000"/>
          <w:sz w:val="24"/>
          <w:szCs w:val="24"/>
        </w:rPr>
        <w:t xml:space="preserve"> </w:t>
      </w:r>
    </w:p>
    <w:p w14:paraId="2E6FA2DA" w14:textId="77777777" w:rsidR="00003903" w:rsidRDefault="00003903" w:rsidP="00003903"/>
    <w:p w14:paraId="49FB181B" w14:textId="349822FD" w:rsidR="00C37A78" w:rsidRDefault="00C37A78" w:rsidP="00C37A78">
      <w:pPr>
        <w:pStyle w:val="Heading2"/>
      </w:pPr>
      <w:r>
        <w:t>Children’s Safeguarding Practice Reviews (previously Serious Case Reviews)</w:t>
      </w:r>
    </w:p>
    <w:p w14:paraId="40D8B1E1" w14:textId="77777777" w:rsidR="00C37A78" w:rsidRPr="00C37A78" w:rsidRDefault="00C37A78" w:rsidP="00C37A78">
      <w:pPr>
        <w:rPr>
          <w:sz w:val="24"/>
          <w:szCs w:val="24"/>
        </w:rPr>
      </w:pPr>
      <w:r w:rsidRPr="00C37A78">
        <w:rPr>
          <w:sz w:val="24"/>
          <w:szCs w:val="24"/>
        </w:rPr>
        <w:t>In Sandwell, most of the cases in recent years which have met the criteria for a case or practice review concern babies and children under 5 years old. The 3 most recently published SCRs were about children aged 0-5 years. These reviews have highlighted some key themes and issues for service improvements:</w:t>
      </w:r>
    </w:p>
    <w:p w14:paraId="542CD80F" w14:textId="77777777" w:rsidR="00C37A78" w:rsidRPr="00C37A78" w:rsidRDefault="00C37A78" w:rsidP="00C37A78">
      <w:pPr>
        <w:pStyle w:val="ListParagraph"/>
        <w:numPr>
          <w:ilvl w:val="0"/>
          <w:numId w:val="39"/>
        </w:numPr>
        <w:spacing w:line="259" w:lineRule="auto"/>
        <w:contextualSpacing w:val="0"/>
        <w:rPr>
          <w:sz w:val="24"/>
          <w:szCs w:val="24"/>
        </w:rPr>
      </w:pPr>
      <w:r w:rsidRPr="00C37A78">
        <w:rPr>
          <w:b/>
          <w:sz w:val="24"/>
          <w:szCs w:val="24"/>
        </w:rPr>
        <w:t xml:space="preserve">Missing men – </w:t>
      </w:r>
      <w:r w:rsidRPr="00C37A78">
        <w:rPr>
          <w:sz w:val="24"/>
          <w:szCs w:val="24"/>
        </w:rPr>
        <w:t>Failure to engage with fathers or other significant men.</w:t>
      </w:r>
    </w:p>
    <w:p w14:paraId="576990B0" w14:textId="77777777" w:rsidR="00C37A78" w:rsidRPr="00C37A78" w:rsidRDefault="00C37A78" w:rsidP="00C37A78">
      <w:pPr>
        <w:pStyle w:val="ListParagraph"/>
        <w:numPr>
          <w:ilvl w:val="0"/>
          <w:numId w:val="39"/>
        </w:numPr>
        <w:spacing w:line="259" w:lineRule="auto"/>
        <w:contextualSpacing w:val="0"/>
        <w:rPr>
          <w:b/>
          <w:sz w:val="24"/>
          <w:szCs w:val="24"/>
        </w:rPr>
      </w:pPr>
      <w:r w:rsidRPr="00C37A78">
        <w:rPr>
          <w:b/>
          <w:sz w:val="24"/>
          <w:szCs w:val="24"/>
        </w:rPr>
        <w:t>Lack of effective communication between agencies</w:t>
      </w:r>
      <w:r w:rsidRPr="00C37A78">
        <w:rPr>
          <w:sz w:val="24"/>
          <w:szCs w:val="24"/>
        </w:rPr>
        <w:t xml:space="preserve"> – Not always sharing information, absence from multi-agency meetings, lack of clarity about escalation procedures.</w:t>
      </w:r>
    </w:p>
    <w:p w14:paraId="07E09698" w14:textId="77777777" w:rsidR="00C37A78" w:rsidRPr="00C37A78" w:rsidRDefault="00C37A78" w:rsidP="00C37A78">
      <w:pPr>
        <w:pStyle w:val="ListParagraph"/>
        <w:numPr>
          <w:ilvl w:val="0"/>
          <w:numId w:val="39"/>
        </w:numPr>
        <w:spacing w:line="259" w:lineRule="auto"/>
        <w:contextualSpacing w:val="0"/>
        <w:rPr>
          <w:sz w:val="24"/>
          <w:szCs w:val="24"/>
        </w:rPr>
      </w:pPr>
      <w:r w:rsidRPr="00C37A78">
        <w:rPr>
          <w:b/>
          <w:sz w:val="24"/>
          <w:szCs w:val="24"/>
        </w:rPr>
        <w:t xml:space="preserve">Lack of recognition of the need for a multi-agency response - </w:t>
      </w:r>
      <w:r w:rsidRPr="00C37A78">
        <w:rPr>
          <w:sz w:val="24"/>
          <w:szCs w:val="24"/>
        </w:rPr>
        <w:t xml:space="preserve">Confusion at times over which agency/professional was taking the lead and who was doing what to support the family. </w:t>
      </w:r>
    </w:p>
    <w:p w14:paraId="4DFDF2D9" w14:textId="33618BEB" w:rsidR="00C37A78" w:rsidRPr="00C37A78" w:rsidRDefault="00C37A78" w:rsidP="00C37A78">
      <w:pPr>
        <w:pStyle w:val="ListParagraph"/>
        <w:numPr>
          <w:ilvl w:val="0"/>
          <w:numId w:val="39"/>
        </w:numPr>
        <w:spacing w:line="259" w:lineRule="auto"/>
        <w:contextualSpacing w:val="0"/>
        <w:rPr>
          <w:b/>
          <w:sz w:val="24"/>
          <w:szCs w:val="24"/>
        </w:rPr>
      </w:pPr>
      <w:r w:rsidRPr="00C37A78">
        <w:rPr>
          <w:b/>
          <w:sz w:val="24"/>
          <w:szCs w:val="24"/>
        </w:rPr>
        <w:t>Lack of recognition of safeguarding thresholds and procedures -</w:t>
      </w:r>
      <w:r>
        <w:rPr>
          <w:b/>
          <w:sz w:val="24"/>
          <w:szCs w:val="24"/>
        </w:rPr>
        <w:t xml:space="preserve"> </w:t>
      </w:r>
      <w:r w:rsidRPr="00C37A78">
        <w:rPr>
          <w:bCs/>
          <w:sz w:val="24"/>
          <w:szCs w:val="24"/>
        </w:rPr>
        <w:t>S</w:t>
      </w:r>
      <w:r w:rsidRPr="00C37A78">
        <w:rPr>
          <w:sz w:val="24"/>
          <w:szCs w:val="24"/>
        </w:rPr>
        <w:t>ome agencies/professionals not following their own procedures resulting in missed opportunities. Professionals needed greater confidence in applying safeguarding procedures and in their understanding of the threshold document. Further Safeguarding training and greater professional curiosity were also recommended.</w:t>
      </w:r>
      <w:r w:rsidRPr="00C37A78">
        <w:rPr>
          <w:b/>
          <w:sz w:val="24"/>
          <w:szCs w:val="24"/>
        </w:rPr>
        <w:t xml:space="preserve"> </w:t>
      </w:r>
    </w:p>
    <w:p w14:paraId="225A606D" w14:textId="77777777" w:rsidR="00C37A78" w:rsidRPr="00C37A78" w:rsidRDefault="00C37A78" w:rsidP="00C37A78">
      <w:pPr>
        <w:pStyle w:val="ListParagraph"/>
        <w:numPr>
          <w:ilvl w:val="0"/>
          <w:numId w:val="39"/>
        </w:numPr>
        <w:spacing w:line="259" w:lineRule="auto"/>
        <w:contextualSpacing w:val="0"/>
        <w:rPr>
          <w:b/>
          <w:sz w:val="24"/>
          <w:szCs w:val="24"/>
        </w:rPr>
      </w:pPr>
      <w:r w:rsidRPr="00C37A78">
        <w:rPr>
          <w:b/>
          <w:sz w:val="24"/>
          <w:szCs w:val="24"/>
        </w:rPr>
        <w:t xml:space="preserve">The need for robust, holistic assessments - </w:t>
      </w:r>
      <w:r w:rsidRPr="00C37A78">
        <w:rPr>
          <w:sz w:val="24"/>
          <w:szCs w:val="24"/>
        </w:rPr>
        <w:t>A need for assessments to be more holistic, taking into account the backgrounds and experiences of both parents/significant extended family members and their vulnerabilities. Professional were sometimes over optimistic about parents’ capacity to change and understand the impact of their lifestyles on their children. Disguised compliance by parents, which often led to drift and delay in cases, was another common feature.</w:t>
      </w:r>
    </w:p>
    <w:p w14:paraId="0031F72A" w14:textId="77777777" w:rsidR="00C37A78" w:rsidRPr="00C37A78" w:rsidRDefault="00C37A78" w:rsidP="00C37A78">
      <w:pPr>
        <w:pStyle w:val="ListParagraph"/>
        <w:numPr>
          <w:ilvl w:val="0"/>
          <w:numId w:val="39"/>
        </w:numPr>
        <w:spacing w:line="259" w:lineRule="auto"/>
        <w:contextualSpacing w:val="0"/>
        <w:rPr>
          <w:b/>
          <w:sz w:val="24"/>
          <w:szCs w:val="24"/>
        </w:rPr>
      </w:pPr>
      <w:r w:rsidRPr="00C37A78">
        <w:rPr>
          <w:b/>
          <w:sz w:val="24"/>
          <w:szCs w:val="24"/>
        </w:rPr>
        <w:t xml:space="preserve">Recognising, recording and responding to neglect- </w:t>
      </w:r>
      <w:r w:rsidRPr="00C37A78">
        <w:rPr>
          <w:sz w:val="24"/>
          <w:szCs w:val="24"/>
        </w:rPr>
        <w:t>The issue of prolonged, entrenched neglect is an ongoing feature across the reviews completed in Sandwell and there are elements of neglect across each case whether current or historic. This is a common national theme also, with the CSPR National Panel stating that neglect featured in ¾ of cases referred to them over a three year period. One SCR identified the challenges practitioners faced in recognising and evidencing neglect and that a tool was needed for all agencies to use to assist with this – this led to the introduction of the Graded Care Profile 2 (GCP2).</w:t>
      </w:r>
    </w:p>
    <w:p w14:paraId="3FF19576" w14:textId="537114D9" w:rsidR="00C37A78" w:rsidRPr="00C37A78" w:rsidRDefault="00C37A78" w:rsidP="008F2363">
      <w:pPr>
        <w:pStyle w:val="ListParagraph"/>
        <w:numPr>
          <w:ilvl w:val="0"/>
          <w:numId w:val="39"/>
        </w:numPr>
        <w:spacing w:line="259" w:lineRule="auto"/>
        <w:contextualSpacing w:val="0"/>
        <w:rPr>
          <w:sz w:val="32"/>
          <w:szCs w:val="32"/>
        </w:rPr>
      </w:pPr>
      <w:r w:rsidRPr="00C37A78">
        <w:rPr>
          <w:b/>
          <w:sz w:val="24"/>
          <w:szCs w:val="24"/>
        </w:rPr>
        <w:t xml:space="preserve">Unexplained injuries/bruising in non mobile babies - </w:t>
      </w:r>
      <w:r w:rsidRPr="00C37A78">
        <w:rPr>
          <w:sz w:val="24"/>
          <w:szCs w:val="24"/>
        </w:rPr>
        <w:t>This is a factor that is also of national importance, with the CSPR National Panel announcing they will produce a report on this issue. Some agencies did not follow appropriate procedures when presented with a non-mobile baby with an unexplained injury, leading to missed opportunities for further exploration and consideration in the wider context.</w:t>
      </w:r>
      <w:r w:rsidRPr="00C37A78">
        <w:rPr>
          <w:sz w:val="28"/>
          <w:szCs w:val="28"/>
        </w:rPr>
        <w:t xml:space="preserve"> </w:t>
      </w:r>
    </w:p>
    <w:p w14:paraId="0BC74D21" w14:textId="77777777" w:rsidR="00003903" w:rsidRPr="009163D6" w:rsidRDefault="00003903" w:rsidP="00003903">
      <w:pPr>
        <w:pStyle w:val="Heading3"/>
        <w:rPr>
          <w:color w:val="auto"/>
        </w:rPr>
      </w:pPr>
    </w:p>
    <w:p w14:paraId="77E6ACD9" w14:textId="77777777" w:rsidR="00003903" w:rsidRPr="009163D6" w:rsidRDefault="00003903" w:rsidP="00003903">
      <w:pPr>
        <w:ind w:left="720"/>
        <w:rPr>
          <w:rFonts w:cstheme="minorHAnsi"/>
          <w:sz w:val="24"/>
          <w:szCs w:val="24"/>
        </w:rPr>
      </w:pPr>
    </w:p>
    <w:p w14:paraId="6781F412" w14:textId="77777777" w:rsidR="00003903" w:rsidRDefault="00003903" w:rsidP="005B1F6D">
      <w:pPr>
        <w:pStyle w:val="Heading2"/>
      </w:pPr>
    </w:p>
    <w:p w14:paraId="7F7D3E76" w14:textId="77777777" w:rsidR="00003903" w:rsidRDefault="00003903" w:rsidP="005B1F6D">
      <w:pPr>
        <w:pStyle w:val="Heading2"/>
      </w:pPr>
    </w:p>
    <w:p w14:paraId="02D2329A" w14:textId="77777777" w:rsidR="00003903" w:rsidRDefault="00003903" w:rsidP="00003903">
      <w:pPr>
        <w:spacing w:after="160" w:line="259" w:lineRule="auto"/>
        <w:rPr>
          <w:rFonts w:eastAsiaTheme="majorEastAsia" w:cs="Arial"/>
          <w:sz w:val="24"/>
          <w:szCs w:val="24"/>
        </w:rPr>
      </w:pPr>
      <w:r>
        <w:br w:type="page"/>
      </w:r>
    </w:p>
    <w:p w14:paraId="54EBE9A1" w14:textId="77777777" w:rsidR="00003903" w:rsidRDefault="00003903" w:rsidP="005B1F6D">
      <w:pPr>
        <w:pStyle w:val="Heading2"/>
      </w:pPr>
      <w:r w:rsidRPr="002F2ED0">
        <w:t xml:space="preserve">Early Help </w:t>
      </w:r>
    </w:p>
    <w:p w14:paraId="796E9B5B" w14:textId="77777777" w:rsidR="00003903" w:rsidRPr="009163D6" w:rsidRDefault="00003903" w:rsidP="00003903">
      <w:pPr>
        <w:spacing w:after="300" w:line="240" w:lineRule="auto"/>
        <w:rPr>
          <w:rFonts w:eastAsia="Times New Roman" w:cstheme="minorHAnsi"/>
          <w:sz w:val="24"/>
          <w:szCs w:val="24"/>
        </w:rPr>
      </w:pPr>
      <w:r w:rsidRPr="009163D6">
        <w:rPr>
          <w:rFonts w:cstheme="minorHAnsi"/>
          <w:sz w:val="24"/>
          <w:szCs w:val="24"/>
        </w:rPr>
        <w:t>Early</w:t>
      </w:r>
      <w:r>
        <w:rPr>
          <w:rFonts w:cstheme="minorHAnsi"/>
          <w:sz w:val="24"/>
          <w:szCs w:val="24"/>
        </w:rPr>
        <w:t xml:space="preserve"> H</w:t>
      </w:r>
      <w:r w:rsidRPr="009163D6">
        <w:rPr>
          <w:rFonts w:cstheme="minorHAnsi"/>
          <w:sz w:val="24"/>
          <w:szCs w:val="24"/>
        </w:rPr>
        <w:t>elp, also known as early intervention, is support given to a family when a problem first emerges. It can be provided at any stage in a child or young person's life.</w:t>
      </w:r>
    </w:p>
    <w:p w14:paraId="234AE90C" w14:textId="77777777" w:rsidR="00003903" w:rsidRPr="009163D6" w:rsidRDefault="00003903" w:rsidP="00003903">
      <w:pPr>
        <w:spacing w:after="300" w:line="240" w:lineRule="auto"/>
        <w:rPr>
          <w:rFonts w:cstheme="minorHAnsi"/>
          <w:sz w:val="24"/>
          <w:szCs w:val="24"/>
        </w:rPr>
      </w:pPr>
      <w:r w:rsidRPr="009163D6">
        <w:rPr>
          <w:rFonts w:cstheme="minorHAnsi"/>
          <w:sz w:val="24"/>
          <w:szCs w:val="24"/>
        </w:rPr>
        <w:t xml:space="preserve">Statutory guidance in each </w:t>
      </w:r>
      <w:r>
        <w:rPr>
          <w:rFonts w:cstheme="minorHAnsi"/>
          <w:sz w:val="24"/>
          <w:szCs w:val="24"/>
        </w:rPr>
        <w:t xml:space="preserve">individual </w:t>
      </w:r>
      <w:r w:rsidRPr="009163D6">
        <w:rPr>
          <w:rFonts w:cstheme="minorHAnsi"/>
          <w:sz w:val="24"/>
          <w:szCs w:val="24"/>
        </w:rPr>
        <w:t>nation of the UK highlights the importance of providing early intervention, rather than waiting until a child or family’s situation escalates (Department for Education (DfE), 2018). Early help services can be delivered to parents, children or whole families, but their main focus is to improve outcomes for children. For example, services may help parents who are living in challenging circumstances provide a safe and loving environment for their child. Or, if a child is displaying risk-taking behaviour, early help practitioners might work with the child and their parents to find out the reasons for the child's behaviour and put strategies in place to help keep them safe.</w:t>
      </w:r>
    </w:p>
    <w:p w14:paraId="0BDB35EC" w14:textId="77777777" w:rsidR="00003903" w:rsidRDefault="00003903" w:rsidP="00003903">
      <w:pPr>
        <w:spacing w:after="300" w:line="240" w:lineRule="auto"/>
        <w:rPr>
          <w:rFonts w:cstheme="minorHAnsi"/>
          <w:sz w:val="24"/>
          <w:szCs w:val="24"/>
        </w:rPr>
      </w:pPr>
      <w:r w:rsidRPr="009163D6">
        <w:rPr>
          <w:rFonts w:cstheme="minorHAnsi"/>
          <w:sz w:val="24"/>
          <w:szCs w:val="24"/>
        </w:rPr>
        <w:t>Providing timely support is vital. Addressing a child or family's needs early on can reduce risk factors and increase protective factors in a child's life (Early Intervention Foundation (EIF), 2018).</w:t>
      </w:r>
      <w:r>
        <w:rPr>
          <w:rFonts w:cstheme="minorHAnsi"/>
          <w:sz w:val="24"/>
          <w:szCs w:val="24"/>
        </w:rPr>
        <w:t xml:space="preserve"> </w:t>
      </w:r>
      <w:r w:rsidRPr="009163D6">
        <w:rPr>
          <w:rFonts w:cstheme="minorHAnsi"/>
          <w:sz w:val="24"/>
          <w:szCs w:val="24"/>
        </w:rPr>
        <w:t>Protective factors can reduce risk to a child's wellbeing. They include:</w:t>
      </w:r>
    </w:p>
    <w:p w14:paraId="73B059ED" w14:textId="77777777" w:rsidR="00003903" w:rsidRPr="009163D6" w:rsidRDefault="00003903" w:rsidP="00B13D4A">
      <w:pPr>
        <w:pStyle w:val="ListParagraph"/>
        <w:numPr>
          <w:ilvl w:val="0"/>
          <w:numId w:val="21"/>
        </w:numPr>
        <w:spacing w:after="300" w:line="240" w:lineRule="auto"/>
        <w:rPr>
          <w:rFonts w:cstheme="minorHAnsi"/>
          <w:sz w:val="24"/>
          <w:szCs w:val="24"/>
        </w:rPr>
      </w:pPr>
      <w:r w:rsidRPr="009163D6">
        <w:rPr>
          <w:rFonts w:cstheme="minorHAnsi"/>
          <w:sz w:val="24"/>
          <w:szCs w:val="24"/>
        </w:rPr>
        <w:t>developing strong social and emotional skills</w:t>
      </w:r>
    </w:p>
    <w:p w14:paraId="4F76C5F8" w14:textId="325D5043" w:rsidR="00003903" w:rsidRPr="009163D6" w:rsidRDefault="00003903" w:rsidP="00B13D4A">
      <w:pPr>
        <w:pStyle w:val="ListParagraph"/>
        <w:numPr>
          <w:ilvl w:val="0"/>
          <w:numId w:val="21"/>
        </w:numPr>
        <w:spacing w:before="100" w:beforeAutospacing="1" w:after="150" w:line="240" w:lineRule="auto"/>
        <w:rPr>
          <w:rFonts w:cstheme="minorHAnsi"/>
          <w:sz w:val="24"/>
          <w:szCs w:val="24"/>
        </w:rPr>
      </w:pPr>
      <w:r w:rsidRPr="009163D6">
        <w:rPr>
          <w:rFonts w:cstheme="minorHAnsi"/>
          <w:sz w:val="24"/>
          <w:szCs w:val="24"/>
        </w:rPr>
        <w:t>having a strong social support network for the family</w:t>
      </w:r>
    </w:p>
    <w:p w14:paraId="1A959217" w14:textId="1F438CB0" w:rsidR="00003903" w:rsidRPr="009163D6" w:rsidRDefault="00A324DD" w:rsidP="00B13D4A">
      <w:pPr>
        <w:pStyle w:val="ListParagraph"/>
        <w:numPr>
          <w:ilvl w:val="0"/>
          <w:numId w:val="21"/>
        </w:numPr>
        <w:spacing w:before="100" w:beforeAutospacing="1" w:after="150" w:line="240" w:lineRule="auto"/>
        <w:rPr>
          <w:rFonts w:cstheme="minorHAnsi"/>
          <w:sz w:val="24"/>
          <w:szCs w:val="24"/>
        </w:rPr>
      </w:pPr>
      <w:r>
        <w:rPr>
          <w:rFonts w:cstheme="minorHAnsi"/>
          <w:sz w:val="24"/>
          <w:szCs w:val="24"/>
        </w:rPr>
        <w:t xml:space="preserve">support </w:t>
      </w:r>
      <w:r w:rsidR="00003903" w:rsidRPr="009163D6">
        <w:rPr>
          <w:rFonts w:cstheme="minorHAnsi"/>
          <w:sz w:val="24"/>
          <w:szCs w:val="24"/>
        </w:rPr>
        <w:t>for good parental mental health</w:t>
      </w:r>
    </w:p>
    <w:p w14:paraId="77122B68" w14:textId="77777777" w:rsidR="00003903" w:rsidRPr="009163D6" w:rsidRDefault="00003903" w:rsidP="00B13D4A">
      <w:pPr>
        <w:pStyle w:val="ListParagraph"/>
        <w:numPr>
          <w:ilvl w:val="0"/>
          <w:numId w:val="21"/>
        </w:numPr>
        <w:spacing w:before="100" w:beforeAutospacing="1" w:after="150" w:line="240" w:lineRule="auto"/>
        <w:rPr>
          <w:rFonts w:cstheme="minorHAnsi"/>
          <w:sz w:val="24"/>
          <w:szCs w:val="24"/>
        </w:rPr>
      </w:pPr>
      <w:r w:rsidRPr="009163D6">
        <w:rPr>
          <w:rFonts w:cstheme="minorHAnsi"/>
          <w:sz w:val="24"/>
          <w:szCs w:val="24"/>
        </w:rPr>
        <w:t>income support, benefits and advice</w:t>
      </w:r>
    </w:p>
    <w:p w14:paraId="0F1837AF" w14:textId="77777777" w:rsidR="00003903" w:rsidRPr="009163D6" w:rsidRDefault="00003903" w:rsidP="00B13D4A">
      <w:pPr>
        <w:pStyle w:val="ListParagraph"/>
        <w:numPr>
          <w:ilvl w:val="0"/>
          <w:numId w:val="21"/>
        </w:numPr>
        <w:spacing w:before="100" w:beforeAutospacing="1" w:after="150" w:line="240" w:lineRule="auto"/>
        <w:rPr>
          <w:rFonts w:cstheme="minorHAnsi"/>
          <w:sz w:val="24"/>
          <w:szCs w:val="24"/>
        </w:rPr>
      </w:pPr>
      <w:r w:rsidRPr="009163D6">
        <w:rPr>
          <w:rFonts w:cstheme="minorHAnsi"/>
          <w:sz w:val="24"/>
          <w:szCs w:val="24"/>
        </w:rPr>
        <w:t>good community services and facilities</w:t>
      </w:r>
    </w:p>
    <w:p w14:paraId="2F1CF4A4" w14:textId="77777777" w:rsidR="00003903" w:rsidRPr="009163D6" w:rsidRDefault="00003903" w:rsidP="00003903">
      <w:pPr>
        <w:spacing w:after="300" w:line="240" w:lineRule="auto"/>
        <w:rPr>
          <w:rFonts w:cstheme="minorHAnsi"/>
          <w:sz w:val="24"/>
          <w:szCs w:val="24"/>
        </w:rPr>
      </w:pPr>
      <w:r w:rsidRPr="009163D6">
        <w:rPr>
          <w:rFonts w:cstheme="minorHAnsi"/>
          <w:sz w:val="24"/>
          <w:szCs w:val="24"/>
        </w:rPr>
        <w:t>(EIF, 2018; Cleaver, Unell and Aldgate, 2011).</w:t>
      </w:r>
    </w:p>
    <w:p w14:paraId="04E1F6AC" w14:textId="77777777" w:rsidR="00003903" w:rsidRPr="009163D6" w:rsidRDefault="00003903" w:rsidP="00003903">
      <w:pPr>
        <w:spacing w:after="300" w:line="240" w:lineRule="auto"/>
        <w:rPr>
          <w:rFonts w:cstheme="minorHAnsi"/>
          <w:sz w:val="24"/>
          <w:szCs w:val="24"/>
        </w:rPr>
      </w:pPr>
      <w:r w:rsidRPr="009163D6">
        <w:rPr>
          <w:rFonts w:cstheme="minorHAnsi"/>
          <w:sz w:val="24"/>
          <w:szCs w:val="24"/>
        </w:rPr>
        <w:t>Early intervention can also prevent further problems from developing – for example, as part of a support plan for a child and their family when a child returns home from care (DfE, 2018).</w:t>
      </w:r>
    </w:p>
    <w:p w14:paraId="6BC0D5B6" w14:textId="77777777" w:rsidR="00003903" w:rsidRPr="009163D6" w:rsidRDefault="00003903" w:rsidP="00003903">
      <w:pPr>
        <w:spacing w:after="300" w:line="240" w:lineRule="auto"/>
        <w:rPr>
          <w:rFonts w:cstheme="minorHAnsi"/>
          <w:sz w:val="24"/>
          <w:szCs w:val="24"/>
        </w:rPr>
      </w:pPr>
      <w:r w:rsidRPr="009163D6">
        <w:rPr>
          <w:rFonts w:cstheme="minorHAnsi"/>
          <w:sz w:val="24"/>
          <w:szCs w:val="24"/>
        </w:rPr>
        <w:t>Early help can offer children the support needed to reach their full potential (EIF, 2018). It can improve the quality of a child’s home and family life, enable them to perform better at school and support their mental health (EIF, 2018).</w:t>
      </w:r>
      <w:r>
        <w:rPr>
          <w:rFonts w:cstheme="minorHAnsi"/>
          <w:sz w:val="24"/>
          <w:szCs w:val="24"/>
        </w:rPr>
        <w:t xml:space="preserve"> </w:t>
      </w:r>
      <w:r w:rsidRPr="009163D6">
        <w:rPr>
          <w:rFonts w:cstheme="minorHAnsi"/>
          <w:sz w:val="24"/>
          <w:szCs w:val="24"/>
        </w:rPr>
        <w:t>Research suggests that early help can:</w:t>
      </w:r>
    </w:p>
    <w:p w14:paraId="5FD38DEB" w14:textId="77777777" w:rsidR="00003903" w:rsidRPr="009163D6" w:rsidRDefault="00003903" w:rsidP="00B13D4A">
      <w:pPr>
        <w:pStyle w:val="ListParagraph"/>
        <w:numPr>
          <w:ilvl w:val="0"/>
          <w:numId w:val="20"/>
        </w:numPr>
        <w:spacing w:before="100" w:beforeAutospacing="1" w:after="150" w:line="240" w:lineRule="auto"/>
        <w:rPr>
          <w:rFonts w:cstheme="minorHAnsi"/>
          <w:sz w:val="24"/>
          <w:szCs w:val="24"/>
        </w:rPr>
      </w:pPr>
      <w:r w:rsidRPr="009163D6">
        <w:rPr>
          <w:rFonts w:cstheme="minorHAnsi"/>
          <w:sz w:val="24"/>
          <w:szCs w:val="24"/>
        </w:rPr>
        <w:t>protect children from harm</w:t>
      </w:r>
    </w:p>
    <w:p w14:paraId="51F8524D" w14:textId="77777777" w:rsidR="00003903" w:rsidRPr="009163D6" w:rsidRDefault="00003903" w:rsidP="00B13D4A">
      <w:pPr>
        <w:pStyle w:val="ListParagraph"/>
        <w:numPr>
          <w:ilvl w:val="0"/>
          <w:numId w:val="20"/>
        </w:numPr>
        <w:spacing w:before="100" w:beforeAutospacing="1" w:after="150" w:line="240" w:lineRule="auto"/>
        <w:rPr>
          <w:rFonts w:cstheme="minorHAnsi"/>
          <w:sz w:val="24"/>
          <w:szCs w:val="24"/>
        </w:rPr>
      </w:pPr>
      <w:r w:rsidRPr="009163D6">
        <w:rPr>
          <w:rFonts w:cstheme="minorHAnsi"/>
          <w:sz w:val="24"/>
          <w:szCs w:val="24"/>
        </w:rPr>
        <w:t>reduce the need for a referral to child protection services</w:t>
      </w:r>
    </w:p>
    <w:p w14:paraId="3E7A3D52" w14:textId="77777777" w:rsidR="00003903" w:rsidRPr="003D21A2" w:rsidRDefault="00003903" w:rsidP="00B13D4A">
      <w:pPr>
        <w:pStyle w:val="ListParagraph"/>
        <w:numPr>
          <w:ilvl w:val="0"/>
          <w:numId w:val="20"/>
        </w:numPr>
        <w:spacing w:before="100" w:beforeAutospacing="1" w:after="300" w:line="240" w:lineRule="auto"/>
        <w:rPr>
          <w:rFonts w:ascii="NSPCC-Regular" w:hAnsi="NSPCC-Regular" w:cs="Arial" w:hint="eastAsia"/>
          <w:sz w:val="23"/>
          <w:szCs w:val="23"/>
        </w:rPr>
      </w:pPr>
      <w:r w:rsidRPr="003D21A2">
        <w:rPr>
          <w:rFonts w:cstheme="minorHAnsi"/>
          <w:sz w:val="24"/>
          <w:szCs w:val="24"/>
        </w:rPr>
        <w:t>improve children's long-term outcomes (Haynes et al, 2015).</w:t>
      </w:r>
    </w:p>
    <w:p w14:paraId="728F5B76" w14:textId="77777777" w:rsidR="00003903" w:rsidRDefault="00003903" w:rsidP="00003903">
      <w:pPr>
        <w:rPr>
          <w:rFonts w:cstheme="minorHAnsi"/>
          <w:sz w:val="24"/>
          <w:szCs w:val="24"/>
        </w:rPr>
      </w:pPr>
      <w:r w:rsidRPr="003D21A2">
        <w:rPr>
          <w:rFonts w:cstheme="minorHAnsi"/>
          <w:sz w:val="24"/>
          <w:szCs w:val="24"/>
        </w:rPr>
        <w:t>Early help can also support a child to develop strengths and skills that can prepare them for adult life (EIF, 2018).</w:t>
      </w:r>
    </w:p>
    <w:p w14:paraId="00B4B48F" w14:textId="77777777" w:rsidR="00003903" w:rsidRPr="003D21A2" w:rsidRDefault="00003903" w:rsidP="00003903"/>
    <w:p w14:paraId="2F7F7AA3" w14:textId="77777777" w:rsidR="00003903" w:rsidRPr="00580BD2" w:rsidRDefault="00003903" w:rsidP="00003903">
      <w:pPr>
        <w:rPr>
          <w:rFonts w:cs="Arial"/>
          <w:color w:val="FF0000"/>
          <w:sz w:val="24"/>
          <w:szCs w:val="24"/>
        </w:rPr>
      </w:pPr>
      <w:r w:rsidRPr="00580BD2">
        <w:rPr>
          <w:rFonts w:cs="Arial"/>
          <w:sz w:val="24"/>
          <w:szCs w:val="24"/>
        </w:rPr>
        <w:t xml:space="preserve">Sandwell has 28,971 children aged 0-5 (ONS, </w:t>
      </w:r>
      <w:r>
        <w:rPr>
          <w:rFonts w:cs="Arial"/>
          <w:sz w:val="24"/>
          <w:szCs w:val="24"/>
        </w:rPr>
        <w:t>m</w:t>
      </w:r>
      <w:r w:rsidRPr="00580BD2">
        <w:rPr>
          <w:rFonts w:cs="Arial"/>
          <w:sz w:val="24"/>
          <w:szCs w:val="24"/>
        </w:rPr>
        <w:t>id-</w:t>
      </w:r>
      <w:r>
        <w:rPr>
          <w:rFonts w:cs="Arial"/>
          <w:sz w:val="24"/>
          <w:szCs w:val="24"/>
        </w:rPr>
        <w:t>y</w:t>
      </w:r>
      <w:r w:rsidRPr="00580BD2">
        <w:rPr>
          <w:rFonts w:cs="Arial"/>
          <w:sz w:val="24"/>
          <w:szCs w:val="24"/>
        </w:rPr>
        <w:t xml:space="preserve">ear </w:t>
      </w:r>
      <w:r>
        <w:rPr>
          <w:rFonts w:cs="Arial"/>
          <w:sz w:val="24"/>
          <w:szCs w:val="24"/>
        </w:rPr>
        <w:t>e</w:t>
      </w:r>
      <w:r w:rsidRPr="00580BD2">
        <w:rPr>
          <w:rFonts w:cs="Arial"/>
          <w:sz w:val="24"/>
          <w:szCs w:val="24"/>
        </w:rPr>
        <w:t>st</w:t>
      </w:r>
      <w:r>
        <w:rPr>
          <w:rFonts w:cs="Arial"/>
          <w:sz w:val="24"/>
          <w:szCs w:val="24"/>
        </w:rPr>
        <w:t>imate</w:t>
      </w:r>
      <w:r w:rsidRPr="00580BD2">
        <w:rPr>
          <w:rFonts w:cs="Arial"/>
          <w:sz w:val="24"/>
          <w:szCs w:val="24"/>
        </w:rPr>
        <w:t xml:space="preserve"> 2018).  Some of these children are more vulnerable than others and as a local authority we have a responsibility to identify and intervene in support of their health and wellbeing needs as early as possible.</w:t>
      </w:r>
    </w:p>
    <w:p w14:paraId="48908AE5" w14:textId="77777777" w:rsidR="00003903" w:rsidRDefault="00003903" w:rsidP="00003903">
      <w:pPr>
        <w:rPr>
          <w:rFonts w:cs="Arial"/>
          <w:sz w:val="24"/>
          <w:szCs w:val="24"/>
        </w:rPr>
      </w:pPr>
      <w:bookmarkStart w:id="24" w:name="_Hlk26783866"/>
    </w:p>
    <w:p w14:paraId="6C2D43B3" w14:textId="77777777" w:rsidR="00003903" w:rsidRDefault="00003903" w:rsidP="00003903">
      <w:pPr>
        <w:rPr>
          <w:rFonts w:cs="Arial"/>
          <w:sz w:val="24"/>
          <w:szCs w:val="24"/>
        </w:rPr>
      </w:pPr>
      <w:r>
        <w:rPr>
          <w:rFonts w:cs="Arial"/>
          <w:sz w:val="24"/>
          <w:szCs w:val="24"/>
        </w:rPr>
        <w:t xml:space="preserve">In Sandwell, the Early Help System records data in an episodic format. A family can have multiple Early Help episodes but only one at any given point in time. An Early Help episode would include an Early Help Assessment which would be conducted with the family. </w:t>
      </w:r>
    </w:p>
    <w:p w14:paraId="1F8B1DB8" w14:textId="77777777" w:rsidR="00003903" w:rsidRDefault="00003903" w:rsidP="00003903">
      <w:pPr>
        <w:rPr>
          <w:rFonts w:cs="Arial"/>
          <w:sz w:val="24"/>
          <w:szCs w:val="24"/>
        </w:rPr>
      </w:pPr>
    </w:p>
    <w:p w14:paraId="36FFE0B4" w14:textId="77777777" w:rsidR="00003903" w:rsidRPr="00580BD2" w:rsidRDefault="00003903" w:rsidP="00003903">
      <w:pPr>
        <w:rPr>
          <w:sz w:val="24"/>
          <w:szCs w:val="24"/>
          <w:lang w:eastAsia="en-GB"/>
        </w:rPr>
      </w:pPr>
      <w:r w:rsidRPr="005B7361">
        <w:rPr>
          <w:rFonts w:cs="Arial"/>
          <w:sz w:val="24"/>
          <w:szCs w:val="24"/>
        </w:rPr>
        <w:t xml:space="preserve">In total there were </w:t>
      </w:r>
      <w:r w:rsidRPr="008D4038">
        <w:rPr>
          <w:rFonts w:cs="Arial"/>
          <w:sz w:val="24"/>
          <w:szCs w:val="24"/>
        </w:rPr>
        <w:t>3485</w:t>
      </w:r>
      <w:r w:rsidRPr="005B7361">
        <w:rPr>
          <w:rFonts w:cs="Arial"/>
          <w:sz w:val="24"/>
          <w:szCs w:val="24"/>
        </w:rPr>
        <w:t xml:space="preserve"> Early Help </w:t>
      </w:r>
      <w:r>
        <w:rPr>
          <w:rFonts w:cs="Arial"/>
          <w:sz w:val="24"/>
          <w:szCs w:val="24"/>
        </w:rPr>
        <w:t>Episodes</w:t>
      </w:r>
      <w:r w:rsidRPr="005B7361">
        <w:rPr>
          <w:rFonts w:cs="Arial"/>
          <w:sz w:val="24"/>
          <w:szCs w:val="24"/>
        </w:rPr>
        <w:t xml:space="preserve"> in </w:t>
      </w:r>
      <w:r w:rsidRPr="00580BD2">
        <w:rPr>
          <w:rFonts w:cs="Arial"/>
          <w:sz w:val="24"/>
          <w:szCs w:val="24"/>
        </w:rPr>
        <w:t>2018</w:t>
      </w:r>
      <w:r>
        <w:rPr>
          <w:rFonts w:cs="Arial"/>
          <w:sz w:val="24"/>
          <w:szCs w:val="24"/>
        </w:rPr>
        <w:t>/19</w:t>
      </w:r>
      <w:r w:rsidRPr="00580BD2">
        <w:rPr>
          <w:rFonts w:cs="Arial"/>
          <w:sz w:val="24"/>
          <w:szCs w:val="24"/>
        </w:rPr>
        <w:t xml:space="preserve">, of these, </w:t>
      </w:r>
      <w:r>
        <w:rPr>
          <w:rFonts w:cs="Arial"/>
          <w:sz w:val="24"/>
          <w:szCs w:val="24"/>
        </w:rPr>
        <w:t>1090</w:t>
      </w:r>
      <w:r w:rsidRPr="00580BD2">
        <w:rPr>
          <w:rFonts w:cs="Arial"/>
          <w:sz w:val="24"/>
          <w:szCs w:val="24"/>
        </w:rPr>
        <w:t xml:space="preserve"> (</w:t>
      </w:r>
      <w:r>
        <w:rPr>
          <w:rFonts w:cs="Arial"/>
          <w:sz w:val="24"/>
          <w:szCs w:val="24"/>
        </w:rPr>
        <w:t>376.2</w:t>
      </w:r>
      <w:r w:rsidRPr="00580BD2">
        <w:rPr>
          <w:rFonts w:cs="Arial"/>
          <w:sz w:val="24"/>
          <w:szCs w:val="24"/>
        </w:rPr>
        <w:t xml:space="preserve"> per 1</w:t>
      </w:r>
      <w:r>
        <w:rPr>
          <w:rFonts w:cs="Arial"/>
          <w:sz w:val="24"/>
          <w:szCs w:val="24"/>
        </w:rPr>
        <w:t>0</w:t>
      </w:r>
      <w:r w:rsidRPr="00580BD2">
        <w:rPr>
          <w:rFonts w:cs="Arial"/>
          <w:sz w:val="24"/>
          <w:szCs w:val="24"/>
        </w:rPr>
        <w:t>,000) were for 0-5 year olds</w:t>
      </w:r>
      <w:bookmarkEnd w:id="24"/>
      <w:r w:rsidRPr="00580BD2">
        <w:rPr>
          <w:rFonts w:cs="Arial"/>
          <w:sz w:val="24"/>
          <w:szCs w:val="24"/>
        </w:rPr>
        <w:t xml:space="preserve">. </w:t>
      </w:r>
    </w:p>
    <w:p w14:paraId="115C3076" w14:textId="4CC5CB15" w:rsidR="00003903" w:rsidRPr="005B7361" w:rsidRDefault="00003903" w:rsidP="00003903">
      <w:pPr>
        <w:pStyle w:val="ListParagraph"/>
        <w:numPr>
          <w:ilvl w:val="0"/>
          <w:numId w:val="5"/>
        </w:numPr>
        <w:ind w:left="1210"/>
        <w:rPr>
          <w:rFonts w:cstheme="majorHAnsi"/>
          <w:sz w:val="24"/>
          <w:szCs w:val="24"/>
          <w:u w:val="single"/>
        </w:rPr>
      </w:pPr>
      <w:r w:rsidRPr="005B7361">
        <w:rPr>
          <w:rFonts w:cstheme="majorHAnsi"/>
          <w:sz w:val="24"/>
          <w:szCs w:val="24"/>
        </w:rPr>
        <w:t xml:space="preserve">There has been 46% increase in the number of </w:t>
      </w:r>
      <w:r>
        <w:rPr>
          <w:rFonts w:cstheme="majorHAnsi"/>
          <w:sz w:val="24"/>
          <w:szCs w:val="24"/>
        </w:rPr>
        <w:t>episodes</w:t>
      </w:r>
      <w:r w:rsidRPr="005B7361">
        <w:rPr>
          <w:rFonts w:cstheme="majorHAnsi"/>
          <w:sz w:val="24"/>
          <w:szCs w:val="24"/>
        </w:rPr>
        <w:t xml:space="preserve"> from 2017/18 to 2018/19. </w:t>
      </w:r>
      <w:r w:rsidRPr="00B571C6">
        <w:rPr>
          <w:rFonts w:eastAsia="Times New Roman"/>
          <w:sz w:val="24"/>
          <w:szCs w:val="24"/>
        </w:rPr>
        <w:t xml:space="preserve">There continues to be a significant amount of work taking place to build relationships between the Trust and key stakeholders such as Health and Education with a focus upon Early Help and Lead Practitioners. In addition, </w:t>
      </w:r>
      <w:r w:rsidR="00A324DD">
        <w:rPr>
          <w:rFonts w:eastAsia="Times New Roman"/>
          <w:sz w:val="24"/>
          <w:szCs w:val="24"/>
        </w:rPr>
        <w:t>Community Operating Groups (</w:t>
      </w:r>
      <w:r w:rsidRPr="00B571C6">
        <w:rPr>
          <w:rFonts w:eastAsia="Times New Roman"/>
          <w:sz w:val="24"/>
          <w:szCs w:val="24"/>
        </w:rPr>
        <w:t>COGs</w:t>
      </w:r>
      <w:r w:rsidR="00A324DD">
        <w:rPr>
          <w:rFonts w:eastAsia="Times New Roman"/>
          <w:sz w:val="24"/>
          <w:szCs w:val="24"/>
        </w:rPr>
        <w:t>)</w:t>
      </w:r>
      <w:r w:rsidRPr="00B571C6">
        <w:rPr>
          <w:rFonts w:eastAsia="Times New Roman"/>
          <w:sz w:val="24"/>
          <w:szCs w:val="24"/>
        </w:rPr>
        <w:t xml:space="preserve"> are becoming more visible in their communities, advising on and building confidence for universal services navigating their way through Early Help processes and threshold application. </w:t>
      </w:r>
    </w:p>
    <w:p w14:paraId="18BBD4E5" w14:textId="77777777" w:rsidR="00003903" w:rsidRDefault="00003903" w:rsidP="00003903">
      <w:pPr>
        <w:rPr>
          <w:rFonts w:cs="Arial"/>
          <w:sz w:val="24"/>
          <w:szCs w:val="24"/>
        </w:rPr>
      </w:pPr>
    </w:p>
    <w:p w14:paraId="78E3073E" w14:textId="77777777" w:rsidR="00003903" w:rsidRDefault="00003903" w:rsidP="00003903">
      <w:pPr>
        <w:rPr>
          <w:rFonts w:cs="Arial"/>
          <w:sz w:val="24"/>
          <w:szCs w:val="24"/>
        </w:rPr>
      </w:pPr>
      <w:r w:rsidRPr="005B7361">
        <w:rPr>
          <w:rFonts w:cs="Arial"/>
          <w:sz w:val="24"/>
          <w:szCs w:val="24"/>
        </w:rPr>
        <w:t xml:space="preserve">The number of early help </w:t>
      </w:r>
      <w:r>
        <w:rPr>
          <w:rFonts w:cs="Arial"/>
          <w:sz w:val="24"/>
          <w:szCs w:val="24"/>
        </w:rPr>
        <w:t>episodes</w:t>
      </w:r>
      <w:r w:rsidRPr="005B7361">
        <w:rPr>
          <w:rFonts w:cs="Arial"/>
          <w:sz w:val="24"/>
          <w:szCs w:val="24"/>
        </w:rPr>
        <w:t xml:space="preserve"> by age and ward of residence are presented in Figures 3.1-3.3 and referrals by ethnicity is shown in Table 3.1.</w:t>
      </w:r>
    </w:p>
    <w:p w14:paraId="3899BC40" w14:textId="77777777" w:rsidR="00003903" w:rsidRPr="00580BD2" w:rsidRDefault="00003903" w:rsidP="00003903">
      <w:pPr>
        <w:rPr>
          <w:sz w:val="24"/>
          <w:szCs w:val="24"/>
          <w:lang w:eastAsia="en-GB"/>
        </w:rPr>
      </w:pPr>
    </w:p>
    <w:p w14:paraId="7CD7BE49" w14:textId="0E989356" w:rsidR="00003903" w:rsidRPr="00BD57B5" w:rsidRDefault="00003903" w:rsidP="00003903">
      <w:pPr>
        <w:rPr>
          <w:b/>
          <w:sz w:val="24"/>
          <w:szCs w:val="24"/>
          <w:lang w:eastAsia="en-GB"/>
        </w:rPr>
      </w:pPr>
      <w:r w:rsidRPr="00BD57B5">
        <w:rPr>
          <w:b/>
          <w:sz w:val="24"/>
          <w:szCs w:val="24"/>
          <w:lang w:eastAsia="en-GB"/>
        </w:rPr>
        <w:t>Figure 3.1</w:t>
      </w:r>
      <w:r w:rsidR="00D05BB1">
        <w:rPr>
          <w:b/>
          <w:sz w:val="24"/>
          <w:szCs w:val="24"/>
          <w:lang w:eastAsia="en-GB"/>
        </w:rPr>
        <w:t>:</w:t>
      </w:r>
      <w:r w:rsidRPr="00BD57B5">
        <w:rPr>
          <w:b/>
          <w:sz w:val="24"/>
          <w:szCs w:val="24"/>
          <w:lang w:eastAsia="en-GB"/>
        </w:rPr>
        <w:t xml:space="preserve"> Sandwell Early Help </w:t>
      </w:r>
      <w:r>
        <w:rPr>
          <w:b/>
          <w:sz w:val="24"/>
          <w:szCs w:val="24"/>
          <w:lang w:eastAsia="en-GB"/>
        </w:rPr>
        <w:t>Assessments</w:t>
      </w:r>
      <w:r w:rsidRPr="00BD57B5">
        <w:rPr>
          <w:b/>
          <w:sz w:val="24"/>
          <w:szCs w:val="24"/>
          <w:lang w:eastAsia="en-GB"/>
        </w:rPr>
        <w:t xml:space="preserve"> 2014/15 to 2018/19 (0-5 year olds)</w:t>
      </w:r>
    </w:p>
    <w:p w14:paraId="7BABEAF4" w14:textId="77777777" w:rsidR="00003903" w:rsidRPr="00580BD2" w:rsidRDefault="00003903" w:rsidP="00003903">
      <w:pPr>
        <w:rPr>
          <w:sz w:val="24"/>
          <w:szCs w:val="24"/>
          <w:lang w:eastAsia="en-GB"/>
        </w:rPr>
      </w:pPr>
      <w:r w:rsidRPr="00580BD2">
        <w:rPr>
          <w:noProof/>
          <w:sz w:val="24"/>
          <w:szCs w:val="24"/>
        </w:rPr>
        <w:drawing>
          <wp:inline distT="0" distB="0" distL="0" distR="0" wp14:anchorId="4101A026" wp14:editId="1F989BAC">
            <wp:extent cx="5692453" cy="3556000"/>
            <wp:effectExtent l="0" t="0" r="3810" b="6350"/>
            <wp:docPr id="17" name="Chart 17">
              <a:extLst xmlns:a="http://schemas.openxmlformats.org/drawingml/2006/main">
                <a:ext uri="{FF2B5EF4-FFF2-40B4-BE49-F238E27FC236}">
                  <a16:creationId xmlns:a16="http://schemas.microsoft.com/office/drawing/2014/main" id="{F55C148C-A14F-4494-A371-D8CB42D23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D619D56" w14:textId="77777777" w:rsidR="00003903" w:rsidRPr="00580BD2" w:rsidRDefault="00003903" w:rsidP="00003903">
      <w:pPr>
        <w:rPr>
          <w:rFonts w:cs="Arial"/>
          <w:b/>
          <w:sz w:val="24"/>
          <w:szCs w:val="24"/>
        </w:rPr>
      </w:pPr>
      <w:r w:rsidRPr="00580BD2">
        <w:rPr>
          <w:rFonts w:cs="Arial"/>
          <w:sz w:val="24"/>
          <w:szCs w:val="24"/>
        </w:rPr>
        <w:t>Source: Sandwell Children’s Trust</w:t>
      </w:r>
    </w:p>
    <w:p w14:paraId="74DDA81B" w14:textId="77777777" w:rsidR="00003903" w:rsidRPr="00580BD2" w:rsidRDefault="00003903" w:rsidP="00003903">
      <w:pPr>
        <w:rPr>
          <w:rFonts w:cs="Arial"/>
          <w:b/>
          <w:sz w:val="24"/>
          <w:szCs w:val="24"/>
        </w:rPr>
      </w:pPr>
    </w:p>
    <w:p w14:paraId="76871907" w14:textId="77777777" w:rsidR="00003903" w:rsidRDefault="00003903" w:rsidP="00003903">
      <w:pPr>
        <w:rPr>
          <w:rFonts w:cs="Arial"/>
          <w:sz w:val="24"/>
          <w:szCs w:val="24"/>
        </w:rPr>
      </w:pPr>
    </w:p>
    <w:p w14:paraId="37D8203F" w14:textId="77777777" w:rsidR="00003903" w:rsidRPr="007136CA" w:rsidRDefault="00003903" w:rsidP="00003903">
      <w:pPr>
        <w:rPr>
          <w:rFonts w:cs="Arial"/>
          <w:b/>
          <w:sz w:val="24"/>
          <w:szCs w:val="24"/>
        </w:rPr>
      </w:pPr>
      <w:r w:rsidRPr="007136CA">
        <w:rPr>
          <w:rFonts w:cs="Arial"/>
          <w:b/>
          <w:sz w:val="24"/>
          <w:szCs w:val="24"/>
        </w:rPr>
        <w:t xml:space="preserve">Figure 3.2: Early Help </w:t>
      </w:r>
      <w:r>
        <w:rPr>
          <w:rFonts w:cs="Arial"/>
          <w:b/>
          <w:sz w:val="24"/>
          <w:szCs w:val="24"/>
        </w:rPr>
        <w:t>episode</w:t>
      </w:r>
      <w:r w:rsidRPr="007136CA">
        <w:rPr>
          <w:rFonts w:cs="Arial"/>
          <w:b/>
          <w:sz w:val="24"/>
          <w:szCs w:val="24"/>
        </w:rPr>
        <w:t>s by age of child per 1</w:t>
      </w:r>
      <w:r>
        <w:rPr>
          <w:rFonts w:cs="Arial"/>
          <w:b/>
          <w:sz w:val="24"/>
          <w:szCs w:val="24"/>
        </w:rPr>
        <w:t>0</w:t>
      </w:r>
      <w:r w:rsidRPr="007136CA">
        <w:rPr>
          <w:rFonts w:cs="Arial"/>
          <w:b/>
          <w:sz w:val="24"/>
          <w:szCs w:val="24"/>
        </w:rPr>
        <w:t>,000 Sandwell population, 2018</w:t>
      </w:r>
      <w:r>
        <w:rPr>
          <w:rFonts w:cs="Arial"/>
          <w:b/>
          <w:sz w:val="24"/>
          <w:szCs w:val="24"/>
        </w:rPr>
        <w:t>/19</w:t>
      </w:r>
    </w:p>
    <w:p w14:paraId="7959F0B8" w14:textId="77777777" w:rsidR="00003903" w:rsidRPr="00580BD2" w:rsidRDefault="00003903" w:rsidP="00003903">
      <w:pPr>
        <w:rPr>
          <w:rFonts w:cs="Arial"/>
          <w:sz w:val="24"/>
          <w:szCs w:val="24"/>
        </w:rPr>
      </w:pPr>
      <w:r>
        <w:rPr>
          <w:noProof/>
        </w:rPr>
        <w:drawing>
          <wp:inline distT="0" distB="0" distL="0" distR="0" wp14:anchorId="4BEB2D25" wp14:editId="3C98C91C">
            <wp:extent cx="5490000" cy="3432175"/>
            <wp:effectExtent l="0" t="0" r="15875" b="15875"/>
            <wp:docPr id="37" name="Chart 37">
              <a:extLst xmlns:a="http://schemas.openxmlformats.org/drawingml/2006/main">
                <a:ext uri="{FF2B5EF4-FFF2-40B4-BE49-F238E27FC236}">
                  <a16:creationId xmlns:a16="http://schemas.microsoft.com/office/drawing/2014/main" id="{F702B1C1-6AEA-4615-9BD6-539B90DCC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A74A8E6" w14:textId="77777777" w:rsidR="00003903" w:rsidRPr="00580BD2" w:rsidRDefault="00003903" w:rsidP="00003903">
      <w:pPr>
        <w:rPr>
          <w:rFonts w:cs="Arial"/>
          <w:color w:val="FF0000"/>
          <w:sz w:val="24"/>
          <w:szCs w:val="24"/>
        </w:rPr>
      </w:pPr>
      <w:r w:rsidRPr="00580BD2">
        <w:rPr>
          <w:rFonts w:cs="Arial"/>
          <w:sz w:val="24"/>
          <w:szCs w:val="24"/>
        </w:rPr>
        <w:t>Source: Sandwell Children’s Trust</w:t>
      </w:r>
    </w:p>
    <w:p w14:paraId="38804251" w14:textId="77777777" w:rsidR="00003903" w:rsidRPr="00580BD2" w:rsidRDefault="00003903" w:rsidP="00003903">
      <w:pPr>
        <w:rPr>
          <w:rFonts w:cs="Arial"/>
          <w:sz w:val="24"/>
          <w:szCs w:val="24"/>
        </w:rPr>
      </w:pPr>
    </w:p>
    <w:p w14:paraId="2B7CF132" w14:textId="77777777" w:rsidR="00003903" w:rsidRPr="00BA30A6" w:rsidRDefault="00003903" w:rsidP="00003903">
      <w:pPr>
        <w:rPr>
          <w:rFonts w:cs="Arial"/>
          <w:sz w:val="24"/>
          <w:szCs w:val="24"/>
        </w:rPr>
      </w:pPr>
      <w:r w:rsidRPr="00580BD2">
        <w:rPr>
          <w:rFonts w:cs="Arial"/>
          <w:sz w:val="24"/>
          <w:szCs w:val="24"/>
        </w:rPr>
        <w:t xml:space="preserve">Children under the age of one have the highest early help </w:t>
      </w:r>
      <w:r>
        <w:rPr>
          <w:rFonts w:cs="Arial"/>
          <w:sz w:val="24"/>
          <w:szCs w:val="24"/>
        </w:rPr>
        <w:t>episode</w:t>
      </w:r>
      <w:r w:rsidRPr="00580BD2">
        <w:rPr>
          <w:rFonts w:cs="Arial"/>
          <w:sz w:val="24"/>
          <w:szCs w:val="24"/>
        </w:rPr>
        <w:t xml:space="preserve"> rates amongst the 0-5 population in Sandwell. </w:t>
      </w:r>
      <w:r w:rsidRPr="00580BD2">
        <w:rPr>
          <w:rFonts w:cs="Arial"/>
          <w:color w:val="FF0000"/>
          <w:sz w:val="24"/>
          <w:szCs w:val="24"/>
        </w:rPr>
        <w:t xml:space="preserve"> </w:t>
      </w:r>
      <w:r w:rsidRPr="00BA30A6">
        <w:rPr>
          <w:rFonts w:cs="Arial"/>
          <w:sz w:val="24"/>
          <w:szCs w:val="24"/>
        </w:rPr>
        <w:t xml:space="preserve">Ward, Brown and Westlake (2012) have also identified that infants under the age of one are more likely than others to be subjects of child protection plans due to physical abuse and more than twice as likely to be subjects of child protection plans due to neglect.  They are also the subject of 45% of serious case reviews (following child death or serious incident), as well as being at eight times the average risk of child homicide. 3% of the referrals were for unborn children. It is positive that this cohort of children are receiving Early Help intervention, ensuring the right service is offered early enough to have positive impact. The Sandwell Unborn Baby Network, which is attended by SCT, Young Parents service, Midwifery, Mental Health and Health Visitors (and other partners when required for specific instances) focuses on ensuring early help is offered at the earliest opportunity. </w:t>
      </w:r>
    </w:p>
    <w:p w14:paraId="733DE7D9" w14:textId="77777777" w:rsidR="00003903" w:rsidRPr="00580BD2" w:rsidRDefault="00003903" w:rsidP="00003903">
      <w:pPr>
        <w:rPr>
          <w:rFonts w:cs="Arial"/>
          <w:color w:val="FF0000"/>
          <w:sz w:val="24"/>
          <w:szCs w:val="24"/>
        </w:rPr>
      </w:pPr>
    </w:p>
    <w:p w14:paraId="28F4641F" w14:textId="77777777" w:rsidR="00003903" w:rsidRDefault="00003903" w:rsidP="00003903">
      <w:pPr>
        <w:spacing w:after="160" w:line="259" w:lineRule="auto"/>
        <w:rPr>
          <w:rFonts w:cs="Arial"/>
          <w:sz w:val="24"/>
          <w:szCs w:val="24"/>
        </w:rPr>
      </w:pPr>
      <w:r>
        <w:rPr>
          <w:rFonts w:cs="Arial"/>
          <w:sz w:val="24"/>
          <w:szCs w:val="24"/>
        </w:rPr>
        <w:br w:type="page"/>
      </w:r>
    </w:p>
    <w:p w14:paraId="42B1CF81" w14:textId="77777777" w:rsidR="00003903" w:rsidRPr="007136CA" w:rsidRDefault="00003903" w:rsidP="00003903">
      <w:pPr>
        <w:rPr>
          <w:rFonts w:cs="Arial"/>
          <w:b/>
          <w:color w:val="FF0000"/>
          <w:sz w:val="24"/>
          <w:szCs w:val="24"/>
          <w:u w:val="single"/>
        </w:rPr>
      </w:pPr>
      <w:r w:rsidRPr="007136CA">
        <w:rPr>
          <w:rFonts w:cs="Arial"/>
          <w:b/>
          <w:sz w:val="24"/>
          <w:szCs w:val="24"/>
        </w:rPr>
        <w:t xml:space="preserve">Figure 3.3: Early Help </w:t>
      </w:r>
      <w:r>
        <w:rPr>
          <w:rFonts w:cs="Arial"/>
          <w:b/>
          <w:sz w:val="24"/>
          <w:szCs w:val="24"/>
        </w:rPr>
        <w:t>episodes</w:t>
      </w:r>
      <w:r w:rsidRPr="007136CA">
        <w:rPr>
          <w:rFonts w:cs="Arial"/>
          <w:b/>
          <w:sz w:val="24"/>
          <w:szCs w:val="24"/>
        </w:rPr>
        <w:t xml:space="preserve"> by ward of residence 2018</w:t>
      </w:r>
      <w:r>
        <w:rPr>
          <w:rFonts w:cs="Arial"/>
          <w:b/>
          <w:sz w:val="24"/>
          <w:szCs w:val="24"/>
        </w:rPr>
        <w:t>/19</w:t>
      </w:r>
    </w:p>
    <w:p w14:paraId="3A726453" w14:textId="77777777" w:rsidR="00003903" w:rsidRPr="00580BD2" w:rsidRDefault="00003903" w:rsidP="00003903">
      <w:pPr>
        <w:rPr>
          <w:rFonts w:cs="Arial"/>
          <w:color w:val="FF0000"/>
          <w:sz w:val="24"/>
          <w:szCs w:val="24"/>
        </w:rPr>
      </w:pPr>
      <w:r>
        <w:rPr>
          <w:noProof/>
        </w:rPr>
        <w:drawing>
          <wp:inline distT="0" distB="0" distL="0" distR="0" wp14:anchorId="78C0B78D" wp14:editId="4C6816C8">
            <wp:extent cx="5276851" cy="4400550"/>
            <wp:effectExtent l="0" t="0" r="0" b="0"/>
            <wp:docPr id="38" name="Chart 38">
              <a:extLst xmlns:a="http://schemas.openxmlformats.org/drawingml/2006/main">
                <a:ext uri="{FF2B5EF4-FFF2-40B4-BE49-F238E27FC236}">
                  <a16:creationId xmlns:a16="http://schemas.microsoft.com/office/drawing/2014/main" id="{1F8DC1D5-75FE-41AB-89F0-E8D165D32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17FA389" w14:textId="77777777" w:rsidR="00003903" w:rsidRPr="00580BD2" w:rsidRDefault="00003903" w:rsidP="00003903">
      <w:pPr>
        <w:rPr>
          <w:rFonts w:cs="Arial"/>
          <w:sz w:val="24"/>
          <w:szCs w:val="24"/>
        </w:rPr>
      </w:pPr>
      <w:r w:rsidRPr="00580BD2">
        <w:rPr>
          <w:rFonts w:cs="Arial"/>
          <w:sz w:val="24"/>
          <w:szCs w:val="24"/>
        </w:rPr>
        <w:t>Source: Sandwell Children’s Trust</w:t>
      </w:r>
    </w:p>
    <w:p w14:paraId="28B1A160" w14:textId="77777777" w:rsidR="00003903" w:rsidRPr="00580BD2" w:rsidRDefault="00003903" w:rsidP="00003903">
      <w:pPr>
        <w:rPr>
          <w:rFonts w:cs="Arial"/>
          <w:sz w:val="24"/>
          <w:szCs w:val="24"/>
        </w:rPr>
      </w:pPr>
    </w:p>
    <w:p w14:paraId="4188BB36" w14:textId="77777777" w:rsidR="00003903" w:rsidRPr="00580BD2" w:rsidRDefault="00003903" w:rsidP="00003903">
      <w:pPr>
        <w:rPr>
          <w:rFonts w:cs="Arial"/>
          <w:color w:val="FF0000"/>
          <w:sz w:val="24"/>
          <w:szCs w:val="24"/>
        </w:rPr>
      </w:pPr>
      <w:r w:rsidRPr="00580BD2">
        <w:rPr>
          <w:rFonts w:cs="Arial"/>
          <w:sz w:val="24"/>
          <w:szCs w:val="24"/>
        </w:rPr>
        <w:t xml:space="preserve">The proportion of 0-5s with early help </w:t>
      </w:r>
      <w:r>
        <w:rPr>
          <w:rFonts w:cs="Arial"/>
          <w:sz w:val="24"/>
          <w:szCs w:val="24"/>
        </w:rPr>
        <w:t>episodes</w:t>
      </w:r>
      <w:r w:rsidRPr="00580BD2">
        <w:rPr>
          <w:rFonts w:cs="Arial"/>
          <w:sz w:val="24"/>
          <w:szCs w:val="24"/>
        </w:rPr>
        <w:t xml:space="preserve"> is greatest from Princes End, Tipton Green and </w:t>
      </w:r>
      <w:r>
        <w:rPr>
          <w:rFonts w:cs="Arial"/>
          <w:sz w:val="24"/>
          <w:szCs w:val="24"/>
        </w:rPr>
        <w:t>Tividale</w:t>
      </w:r>
      <w:r w:rsidRPr="00580BD2">
        <w:rPr>
          <w:rFonts w:cs="Arial"/>
          <w:sz w:val="24"/>
          <w:szCs w:val="24"/>
        </w:rPr>
        <w:t xml:space="preserve"> wards. Several other wards also have a proportion of 0-5s </w:t>
      </w:r>
      <w:r>
        <w:rPr>
          <w:rFonts w:cs="Arial"/>
          <w:sz w:val="24"/>
          <w:szCs w:val="24"/>
        </w:rPr>
        <w:t>episodes</w:t>
      </w:r>
      <w:r w:rsidRPr="00580BD2">
        <w:rPr>
          <w:rFonts w:cs="Arial"/>
          <w:sz w:val="24"/>
          <w:szCs w:val="24"/>
        </w:rPr>
        <w:t xml:space="preserve"> higher than the Sandwell average, as shown in Figure 3</w:t>
      </w:r>
      <w:r>
        <w:rPr>
          <w:rFonts w:cs="Arial"/>
          <w:sz w:val="24"/>
          <w:szCs w:val="24"/>
        </w:rPr>
        <w:t>.3</w:t>
      </w:r>
      <w:r w:rsidRPr="00580BD2">
        <w:rPr>
          <w:rFonts w:cs="Arial"/>
          <w:sz w:val="24"/>
          <w:szCs w:val="24"/>
        </w:rPr>
        <w:t xml:space="preserve">. Other wards in Sandwell have similar levels of deprivation as Princes End (such as Smethwick and St. Paul’s) but much lower </w:t>
      </w:r>
      <w:r>
        <w:rPr>
          <w:rFonts w:cs="Arial"/>
          <w:sz w:val="24"/>
          <w:szCs w:val="24"/>
        </w:rPr>
        <w:t>episode</w:t>
      </w:r>
      <w:r w:rsidRPr="00580BD2">
        <w:rPr>
          <w:rFonts w:cs="Arial"/>
          <w:sz w:val="24"/>
          <w:szCs w:val="24"/>
        </w:rPr>
        <w:t xml:space="preserve"> levels, however these tend to be areas with a greater ethnic diversity, and particularly a large Asian population.</w:t>
      </w:r>
      <w:r w:rsidRPr="00580BD2">
        <w:rPr>
          <w:rFonts w:cs="Arial"/>
          <w:color w:val="FF0000"/>
          <w:sz w:val="24"/>
          <w:szCs w:val="24"/>
        </w:rPr>
        <w:t xml:space="preserve"> </w:t>
      </w:r>
    </w:p>
    <w:p w14:paraId="3582F091" w14:textId="77777777" w:rsidR="00003903" w:rsidRPr="00580BD2" w:rsidRDefault="00003903" w:rsidP="00003903">
      <w:pPr>
        <w:rPr>
          <w:rFonts w:cs="Arial"/>
          <w:color w:val="FF0000"/>
          <w:sz w:val="24"/>
          <w:szCs w:val="24"/>
        </w:rPr>
      </w:pPr>
    </w:p>
    <w:p w14:paraId="7B53BE5E" w14:textId="77777777" w:rsidR="00003903" w:rsidRPr="00C100DB" w:rsidRDefault="00003903" w:rsidP="00003903">
      <w:pPr>
        <w:rPr>
          <w:rFonts w:cs="Arial"/>
          <w:b/>
          <w:sz w:val="24"/>
          <w:szCs w:val="24"/>
        </w:rPr>
      </w:pPr>
      <w:bookmarkStart w:id="25" w:name="_Hlk22207419"/>
      <w:r w:rsidRPr="00C100DB">
        <w:rPr>
          <w:rFonts w:cs="Arial"/>
          <w:b/>
          <w:sz w:val="24"/>
          <w:szCs w:val="24"/>
        </w:rPr>
        <w:t xml:space="preserve">Table 3.1: Early help </w:t>
      </w:r>
      <w:r>
        <w:rPr>
          <w:rFonts w:cs="Arial"/>
          <w:b/>
          <w:sz w:val="24"/>
          <w:szCs w:val="24"/>
        </w:rPr>
        <w:t>episodes</w:t>
      </w:r>
      <w:r w:rsidRPr="00C100DB">
        <w:rPr>
          <w:rFonts w:cs="Arial"/>
          <w:b/>
          <w:sz w:val="24"/>
          <w:szCs w:val="24"/>
        </w:rPr>
        <w:t xml:space="preserve"> by ethnicity</w:t>
      </w:r>
    </w:p>
    <w:tbl>
      <w:tblPr>
        <w:tblW w:w="7986" w:type="dxa"/>
        <w:tblInd w:w="93" w:type="dxa"/>
        <w:tblLook w:val="04A0" w:firstRow="1" w:lastRow="0" w:firstColumn="1" w:lastColumn="0" w:noHBand="0" w:noVBand="1"/>
      </w:tblPr>
      <w:tblGrid>
        <w:gridCol w:w="4155"/>
        <w:gridCol w:w="885"/>
        <w:gridCol w:w="877"/>
        <w:gridCol w:w="817"/>
        <w:gridCol w:w="817"/>
        <w:gridCol w:w="835"/>
      </w:tblGrid>
      <w:tr w:rsidR="00003903" w:rsidRPr="00580BD2" w14:paraId="2C6EA49E" w14:textId="77777777" w:rsidTr="00003903">
        <w:trPr>
          <w:trHeight w:val="535"/>
        </w:trPr>
        <w:tc>
          <w:tcPr>
            <w:tcW w:w="4155" w:type="dxa"/>
            <w:tcBorders>
              <w:top w:val="single" w:sz="4" w:space="0" w:color="00B050"/>
              <w:left w:val="single" w:sz="4" w:space="0" w:color="00B050"/>
              <w:bottom w:val="single" w:sz="4" w:space="0" w:color="00B050"/>
              <w:right w:val="single" w:sz="4" w:space="0" w:color="00B050"/>
            </w:tcBorders>
            <w:shd w:val="clear" w:color="000000" w:fill="D9D9D9"/>
            <w:noWrap/>
            <w:vAlign w:val="bottom"/>
            <w:hideMark/>
          </w:tcPr>
          <w:p w14:paraId="56BB183B" w14:textId="77777777" w:rsidR="00003903" w:rsidRPr="00580BD2" w:rsidRDefault="00003903" w:rsidP="00003903">
            <w:pPr>
              <w:rPr>
                <w:rFonts w:cs="Arial"/>
                <w:sz w:val="24"/>
                <w:szCs w:val="24"/>
              </w:rPr>
            </w:pPr>
            <w:r w:rsidRPr="00580BD2">
              <w:rPr>
                <w:rFonts w:cs="Arial"/>
                <w:sz w:val="24"/>
                <w:szCs w:val="24"/>
              </w:rPr>
              <w:t>Ethnic Group</w:t>
            </w:r>
          </w:p>
        </w:tc>
        <w:tc>
          <w:tcPr>
            <w:tcW w:w="485" w:type="dxa"/>
            <w:tcBorders>
              <w:top w:val="single" w:sz="4" w:space="0" w:color="00B050"/>
              <w:left w:val="nil"/>
              <w:bottom w:val="single" w:sz="4" w:space="0" w:color="00B050"/>
              <w:right w:val="single" w:sz="4" w:space="0" w:color="00B050"/>
            </w:tcBorders>
            <w:shd w:val="clear" w:color="000000" w:fill="D9D9D9"/>
            <w:noWrap/>
            <w:vAlign w:val="bottom"/>
            <w:hideMark/>
          </w:tcPr>
          <w:p w14:paraId="629D617A" w14:textId="77777777" w:rsidR="00003903" w:rsidRPr="00580BD2" w:rsidRDefault="00003903" w:rsidP="00003903">
            <w:pPr>
              <w:rPr>
                <w:rFonts w:cs="Arial"/>
                <w:sz w:val="24"/>
                <w:szCs w:val="24"/>
              </w:rPr>
            </w:pPr>
            <w:r w:rsidRPr="00580BD2">
              <w:rPr>
                <w:rFonts w:cs="Arial"/>
                <w:sz w:val="24"/>
                <w:szCs w:val="24"/>
              </w:rPr>
              <w:t>White</w:t>
            </w:r>
          </w:p>
        </w:tc>
        <w:tc>
          <w:tcPr>
            <w:tcW w:w="877" w:type="dxa"/>
            <w:tcBorders>
              <w:top w:val="single" w:sz="4" w:space="0" w:color="00B050"/>
              <w:left w:val="nil"/>
              <w:bottom w:val="single" w:sz="4" w:space="0" w:color="00B050"/>
              <w:right w:val="single" w:sz="4" w:space="0" w:color="00B050"/>
            </w:tcBorders>
            <w:shd w:val="clear" w:color="000000" w:fill="D9D9D9"/>
            <w:noWrap/>
            <w:vAlign w:val="bottom"/>
            <w:hideMark/>
          </w:tcPr>
          <w:p w14:paraId="4AB1818D" w14:textId="77777777" w:rsidR="00003903" w:rsidRPr="00580BD2" w:rsidRDefault="00003903" w:rsidP="00003903">
            <w:pPr>
              <w:rPr>
                <w:rFonts w:cs="Arial"/>
                <w:sz w:val="24"/>
                <w:szCs w:val="24"/>
              </w:rPr>
            </w:pPr>
            <w:r w:rsidRPr="00580BD2">
              <w:rPr>
                <w:rFonts w:cs="Arial"/>
                <w:sz w:val="24"/>
                <w:szCs w:val="24"/>
              </w:rPr>
              <w:t>Mixed</w:t>
            </w:r>
          </w:p>
        </w:tc>
        <w:tc>
          <w:tcPr>
            <w:tcW w:w="817" w:type="dxa"/>
            <w:tcBorders>
              <w:top w:val="single" w:sz="4" w:space="0" w:color="00B050"/>
              <w:left w:val="nil"/>
              <w:bottom w:val="single" w:sz="4" w:space="0" w:color="00B050"/>
              <w:right w:val="single" w:sz="4" w:space="0" w:color="00B050"/>
            </w:tcBorders>
            <w:shd w:val="clear" w:color="000000" w:fill="D9D9D9"/>
            <w:noWrap/>
            <w:vAlign w:val="bottom"/>
            <w:hideMark/>
          </w:tcPr>
          <w:p w14:paraId="16C3DE35" w14:textId="77777777" w:rsidR="00003903" w:rsidRPr="00580BD2" w:rsidRDefault="00003903" w:rsidP="00003903">
            <w:pPr>
              <w:rPr>
                <w:rFonts w:cs="Arial"/>
                <w:sz w:val="24"/>
                <w:szCs w:val="24"/>
              </w:rPr>
            </w:pPr>
            <w:r w:rsidRPr="00580BD2">
              <w:rPr>
                <w:rFonts w:cs="Arial"/>
                <w:sz w:val="24"/>
                <w:szCs w:val="24"/>
              </w:rPr>
              <w:t>Asian</w:t>
            </w:r>
          </w:p>
        </w:tc>
        <w:tc>
          <w:tcPr>
            <w:tcW w:w="817" w:type="dxa"/>
            <w:tcBorders>
              <w:top w:val="single" w:sz="4" w:space="0" w:color="00B050"/>
              <w:left w:val="nil"/>
              <w:bottom w:val="single" w:sz="4" w:space="0" w:color="00B050"/>
              <w:right w:val="single" w:sz="4" w:space="0" w:color="00B050"/>
            </w:tcBorders>
            <w:shd w:val="clear" w:color="000000" w:fill="D9D9D9"/>
            <w:noWrap/>
            <w:vAlign w:val="bottom"/>
            <w:hideMark/>
          </w:tcPr>
          <w:p w14:paraId="733064E0" w14:textId="77777777" w:rsidR="00003903" w:rsidRPr="00580BD2" w:rsidRDefault="00003903" w:rsidP="00003903">
            <w:pPr>
              <w:rPr>
                <w:rFonts w:cs="Arial"/>
                <w:sz w:val="24"/>
                <w:szCs w:val="24"/>
              </w:rPr>
            </w:pPr>
            <w:r w:rsidRPr="00580BD2">
              <w:rPr>
                <w:rFonts w:cs="Arial"/>
                <w:sz w:val="24"/>
                <w:szCs w:val="24"/>
              </w:rPr>
              <w:t>Black</w:t>
            </w:r>
          </w:p>
        </w:tc>
        <w:tc>
          <w:tcPr>
            <w:tcW w:w="835" w:type="dxa"/>
            <w:tcBorders>
              <w:top w:val="single" w:sz="4" w:space="0" w:color="00B050"/>
              <w:left w:val="nil"/>
              <w:bottom w:val="single" w:sz="4" w:space="0" w:color="00B050"/>
              <w:right w:val="single" w:sz="4" w:space="0" w:color="00B050"/>
            </w:tcBorders>
            <w:shd w:val="clear" w:color="000000" w:fill="D9D9D9"/>
            <w:noWrap/>
            <w:vAlign w:val="bottom"/>
            <w:hideMark/>
          </w:tcPr>
          <w:p w14:paraId="229AEC79" w14:textId="77777777" w:rsidR="00003903" w:rsidRPr="00580BD2" w:rsidRDefault="00003903" w:rsidP="00003903">
            <w:pPr>
              <w:rPr>
                <w:rFonts w:cs="Arial"/>
                <w:sz w:val="24"/>
                <w:szCs w:val="24"/>
              </w:rPr>
            </w:pPr>
            <w:r w:rsidRPr="00580BD2">
              <w:rPr>
                <w:rFonts w:cs="Arial"/>
                <w:sz w:val="24"/>
                <w:szCs w:val="24"/>
              </w:rPr>
              <w:t>Other</w:t>
            </w:r>
          </w:p>
        </w:tc>
      </w:tr>
      <w:tr w:rsidR="00003903" w:rsidRPr="00580BD2" w14:paraId="1A56B2B8" w14:textId="77777777" w:rsidTr="00003903">
        <w:trPr>
          <w:trHeight w:hRule="exact" w:val="397"/>
        </w:trPr>
        <w:tc>
          <w:tcPr>
            <w:tcW w:w="4155" w:type="dxa"/>
            <w:tcBorders>
              <w:top w:val="nil"/>
              <w:left w:val="single" w:sz="4" w:space="0" w:color="00B050"/>
              <w:bottom w:val="single" w:sz="4" w:space="0" w:color="00B050"/>
              <w:right w:val="single" w:sz="4" w:space="0" w:color="00B050"/>
            </w:tcBorders>
            <w:shd w:val="clear" w:color="auto" w:fill="auto"/>
            <w:noWrap/>
            <w:vAlign w:val="center"/>
            <w:hideMark/>
          </w:tcPr>
          <w:p w14:paraId="2BADFFE4" w14:textId="77777777" w:rsidR="00003903" w:rsidRPr="00580BD2" w:rsidRDefault="00003903" w:rsidP="00003903">
            <w:pPr>
              <w:rPr>
                <w:rFonts w:cs="Arial"/>
                <w:sz w:val="24"/>
                <w:szCs w:val="24"/>
              </w:rPr>
            </w:pPr>
            <w:r w:rsidRPr="00580BD2">
              <w:rPr>
                <w:rFonts w:cs="Arial"/>
                <w:sz w:val="24"/>
                <w:szCs w:val="24"/>
              </w:rPr>
              <w:t>Age 0-5 Population (2011 Census)</w:t>
            </w:r>
          </w:p>
        </w:tc>
        <w:tc>
          <w:tcPr>
            <w:tcW w:w="485" w:type="dxa"/>
            <w:tcBorders>
              <w:top w:val="nil"/>
              <w:left w:val="nil"/>
              <w:bottom w:val="single" w:sz="4" w:space="0" w:color="00B050"/>
              <w:right w:val="single" w:sz="4" w:space="0" w:color="00B050"/>
            </w:tcBorders>
            <w:shd w:val="clear" w:color="auto" w:fill="auto"/>
            <w:noWrap/>
            <w:vAlign w:val="center"/>
            <w:hideMark/>
          </w:tcPr>
          <w:p w14:paraId="4D3E9409" w14:textId="77777777" w:rsidR="00003903" w:rsidRPr="00580BD2" w:rsidRDefault="00003903" w:rsidP="00003903">
            <w:pPr>
              <w:jc w:val="right"/>
              <w:rPr>
                <w:rFonts w:cs="Arial"/>
                <w:sz w:val="24"/>
                <w:szCs w:val="24"/>
              </w:rPr>
            </w:pPr>
            <w:r w:rsidRPr="00580BD2">
              <w:rPr>
                <w:rFonts w:cs="Arial"/>
                <w:sz w:val="24"/>
                <w:szCs w:val="24"/>
              </w:rPr>
              <w:t>15,104</w:t>
            </w:r>
          </w:p>
        </w:tc>
        <w:tc>
          <w:tcPr>
            <w:tcW w:w="877" w:type="dxa"/>
            <w:tcBorders>
              <w:top w:val="nil"/>
              <w:left w:val="nil"/>
              <w:bottom w:val="single" w:sz="4" w:space="0" w:color="00B050"/>
              <w:right w:val="single" w:sz="4" w:space="0" w:color="00B050"/>
            </w:tcBorders>
            <w:shd w:val="clear" w:color="auto" w:fill="auto"/>
            <w:noWrap/>
            <w:vAlign w:val="center"/>
            <w:hideMark/>
          </w:tcPr>
          <w:p w14:paraId="74C1FEAC" w14:textId="77777777" w:rsidR="00003903" w:rsidRPr="00580BD2" w:rsidRDefault="00003903" w:rsidP="00003903">
            <w:pPr>
              <w:jc w:val="right"/>
              <w:rPr>
                <w:rFonts w:cs="Arial"/>
                <w:sz w:val="24"/>
                <w:szCs w:val="24"/>
              </w:rPr>
            </w:pPr>
            <w:r w:rsidRPr="00580BD2">
              <w:rPr>
                <w:rFonts w:cs="Arial"/>
                <w:sz w:val="24"/>
                <w:szCs w:val="24"/>
              </w:rPr>
              <w:t>2,448</w:t>
            </w:r>
          </w:p>
        </w:tc>
        <w:tc>
          <w:tcPr>
            <w:tcW w:w="817" w:type="dxa"/>
            <w:tcBorders>
              <w:top w:val="nil"/>
              <w:left w:val="nil"/>
              <w:bottom w:val="single" w:sz="4" w:space="0" w:color="00B050"/>
              <w:right w:val="single" w:sz="4" w:space="0" w:color="00B050"/>
            </w:tcBorders>
            <w:shd w:val="clear" w:color="auto" w:fill="auto"/>
            <w:noWrap/>
            <w:vAlign w:val="center"/>
            <w:hideMark/>
          </w:tcPr>
          <w:p w14:paraId="515411C8" w14:textId="77777777" w:rsidR="00003903" w:rsidRPr="00580BD2" w:rsidRDefault="00003903" w:rsidP="00003903">
            <w:pPr>
              <w:jc w:val="right"/>
              <w:rPr>
                <w:rFonts w:cs="Arial"/>
                <w:sz w:val="24"/>
                <w:szCs w:val="24"/>
              </w:rPr>
            </w:pPr>
            <w:r w:rsidRPr="00580BD2">
              <w:rPr>
                <w:rFonts w:cs="Arial"/>
                <w:sz w:val="24"/>
                <w:szCs w:val="24"/>
              </w:rPr>
              <w:t>6,836</w:t>
            </w:r>
          </w:p>
        </w:tc>
        <w:tc>
          <w:tcPr>
            <w:tcW w:w="817" w:type="dxa"/>
            <w:tcBorders>
              <w:top w:val="nil"/>
              <w:left w:val="nil"/>
              <w:bottom w:val="single" w:sz="4" w:space="0" w:color="00B050"/>
              <w:right w:val="single" w:sz="4" w:space="0" w:color="00B050"/>
            </w:tcBorders>
            <w:shd w:val="clear" w:color="auto" w:fill="auto"/>
            <w:noWrap/>
            <w:vAlign w:val="center"/>
            <w:hideMark/>
          </w:tcPr>
          <w:p w14:paraId="213B04E4" w14:textId="77777777" w:rsidR="00003903" w:rsidRPr="00580BD2" w:rsidRDefault="00003903" w:rsidP="00003903">
            <w:pPr>
              <w:jc w:val="right"/>
              <w:rPr>
                <w:rFonts w:cs="Arial"/>
                <w:sz w:val="24"/>
                <w:szCs w:val="24"/>
              </w:rPr>
            </w:pPr>
            <w:r w:rsidRPr="00580BD2">
              <w:rPr>
                <w:rFonts w:cs="Arial"/>
                <w:sz w:val="24"/>
                <w:szCs w:val="24"/>
              </w:rPr>
              <w:t>1,904</w:t>
            </w:r>
          </w:p>
        </w:tc>
        <w:tc>
          <w:tcPr>
            <w:tcW w:w="835" w:type="dxa"/>
            <w:tcBorders>
              <w:top w:val="nil"/>
              <w:left w:val="nil"/>
              <w:bottom w:val="single" w:sz="4" w:space="0" w:color="00B050"/>
              <w:right w:val="single" w:sz="4" w:space="0" w:color="00B050"/>
            </w:tcBorders>
            <w:shd w:val="clear" w:color="auto" w:fill="auto"/>
            <w:noWrap/>
            <w:vAlign w:val="center"/>
            <w:hideMark/>
          </w:tcPr>
          <w:p w14:paraId="7037737F" w14:textId="77777777" w:rsidR="00003903" w:rsidRPr="00580BD2" w:rsidRDefault="00003903" w:rsidP="00003903">
            <w:pPr>
              <w:jc w:val="right"/>
              <w:rPr>
                <w:rFonts w:cs="Arial"/>
                <w:sz w:val="24"/>
                <w:szCs w:val="24"/>
              </w:rPr>
            </w:pPr>
            <w:r w:rsidRPr="00580BD2">
              <w:rPr>
                <w:rFonts w:cs="Arial"/>
                <w:sz w:val="24"/>
                <w:szCs w:val="24"/>
              </w:rPr>
              <w:t>554</w:t>
            </w:r>
          </w:p>
        </w:tc>
      </w:tr>
      <w:tr w:rsidR="00003903" w:rsidRPr="00580BD2" w14:paraId="648DD004" w14:textId="77777777" w:rsidTr="00003903">
        <w:trPr>
          <w:trHeight w:hRule="exact" w:val="397"/>
        </w:trPr>
        <w:tc>
          <w:tcPr>
            <w:tcW w:w="4155" w:type="dxa"/>
            <w:tcBorders>
              <w:top w:val="nil"/>
              <w:left w:val="single" w:sz="4" w:space="0" w:color="00B050"/>
              <w:bottom w:val="single" w:sz="4" w:space="0" w:color="00B050"/>
              <w:right w:val="single" w:sz="4" w:space="0" w:color="00B050"/>
            </w:tcBorders>
            <w:shd w:val="clear" w:color="auto" w:fill="auto"/>
            <w:noWrap/>
            <w:vAlign w:val="center"/>
            <w:hideMark/>
          </w:tcPr>
          <w:p w14:paraId="0B12FFC2" w14:textId="77777777" w:rsidR="00003903" w:rsidRPr="00580BD2" w:rsidRDefault="00003903" w:rsidP="00003903">
            <w:pPr>
              <w:rPr>
                <w:rFonts w:cs="Arial"/>
                <w:sz w:val="24"/>
                <w:szCs w:val="24"/>
              </w:rPr>
            </w:pPr>
            <w:r w:rsidRPr="00580BD2">
              <w:rPr>
                <w:rFonts w:cs="Arial"/>
                <w:sz w:val="24"/>
                <w:szCs w:val="24"/>
              </w:rPr>
              <w:t xml:space="preserve">0-5 </w:t>
            </w:r>
            <w:r>
              <w:rPr>
                <w:rFonts w:cs="Arial"/>
                <w:sz w:val="24"/>
                <w:szCs w:val="24"/>
              </w:rPr>
              <w:t>episodes</w:t>
            </w:r>
            <w:r w:rsidRPr="00580BD2">
              <w:rPr>
                <w:rFonts w:cs="Arial"/>
                <w:sz w:val="24"/>
                <w:szCs w:val="24"/>
              </w:rPr>
              <w:t xml:space="preserve"> </w:t>
            </w:r>
            <w:r>
              <w:rPr>
                <w:rFonts w:cs="Arial"/>
                <w:sz w:val="24"/>
                <w:szCs w:val="24"/>
              </w:rPr>
              <w:t>–</w:t>
            </w:r>
            <w:r w:rsidRPr="00580BD2">
              <w:rPr>
                <w:rFonts w:cs="Arial"/>
                <w:sz w:val="24"/>
                <w:szCs w:val="24"/>
              </w:rPr>
              <w:t xml:space="preserve"> 2018</w:t>
            </w:r>
            <w:r>
              <w:rPr>
                <w:rFonts w:cs="Arial"/>
                <w:sz w:val="24"/>
                <w:szCs w:val="24"/>
              </w:rPr>
              <w:t>/19</w:t>
            </w:r>
          </w:p>
        </w:tc>
        <w:tc>
          <w:tcPr>
            <w:tcW w:w="485" w:type="dxa"/>
            <w:tcBorders>
              <w:top w:val="nil"/>
              <w:left w:val="nil"/>
              <w:bottom w:val="single" w:sz="4" w:space="0" w:color="00B050"/>
              <w:right w:val="single" w:sz="4" w:space="0" w:color="00B050"/>
            </w:tcBorders>
            <w:shd w:val="clear" w:color="auto" w:fill="auto"/>
            <w:noWrap/>
            <w:vAlign w:val="center"/>
          </w:tcPr>
          <w:p w14:paraId="72EA70D1" w14:textId="77777777" w:rsidR="00003903" w:rsidRPr="00580BD2" w:rsidRDefault="00003903" w:rsidP="00003903">
            <w:pPr>
              <w:jc w:val="right"/>
              <w:rPr>
                <w:rFonts w:cs="Arial"/>
                <w:sz w:val="24"/>
                <w:szCs w:val="24"/>
              </w:rPr>
            </w:pPr>
            <w:r>
              <w:rPr>
                <w:rFonts w:cs="Arial"/>
                <w:sz w:val="24"/>
                <w:szCs w:val="24"/>
              </w:rPr>
              <w:t>486</w:t>
            </w:r>
          </w:p>
        </w:tc>
        <w:tc>
          <w:tcPr>
            <w:tcW w:w="877" w:type="dxa"/>
            <w:tcBorders>
              <w:top w:val="nil"/>
              <w:left w:val="nil"/>
              <w:bottom w:val="single" w:sz="4" w:space="0" w:color="00B050"/>
              <w:right w:val="single" w:sz="4" w:space="0" w:color="00B050"/>
            </w:tcBorders>
            <w:shd w:val="clear" w:color="auto" w:fill="auto"/>
            <w:noWrap/>
            <w:vAlign w:val="center"/>
          </w:tcPr>
          <w:p w14:paraId="26F6FCBC" w14:textId="77777777" w:rsidR="00003903" w:rsidRPr="00580BD2" w:rsidRDefault="00003903" w:rsidP="00003903">
            <w:pPr>
              <w:jc w:val="right"/>
              <w:rPr>
                <w:rFonts w:cs="Arial"/>
                <w:sz w:val="24"/>
                <w:szCs w:val="24"/>
              </w:rPr>
            </w:pPr>
            <w:r>
              <w:rPr>
                <w:rFonts w:cs="Arial"/>
                <w:sz w:val="24"/>
                <w:szCs w:val="24"/>
              </w:rPr>
              <w:t>122</w:t>
            </w:r>
          </w:p>
        </w:tc>
        <w:tc>
          <w:tcPr>
            <w:tcW w:w="817" w:type="dxa"/>
            <w:tcBorders>
              <w:top w:val="nil"/>
              <w:left w:val="nil"/>
              <w:bottom w:val="single" w:sz="4" w:space="0" w:color="00B050"/>
              <w:right w:val="single" w:sz="4" w:space="0" w:color="00B050"/>
            </w:tcBorders>
            <w:shd w:val="clear" w:color="auto" w:fill="auto"/>
            <w:noWrap/>
            <w:vAlign w:val="center"/>
          </w:tcPr>
          <w:p w14:paraId="6C4A870B" w14:textId="77777777" w:rsidR="00003903" w:rsidRPr="00580BD2" w:rsidRDefault="00003903" w:rsidP="00003903">
            <w:pPr>
              <w:jc w:val="right"/>
              <w:rPr>
                <w:rFonts w:cs="Arial"/>
                <w:sz w:val="24"/>
                <w:szCs w:val="24"/>
              </w:rPr>
            </w:pPr>
            <w:r>
              <w:rPr>
                <w:rFonts w:cs="Arial"/>
                <w:sz w:val="24"/>
                <w:szCs w:val="24"/>
              </w:rPr>
              <w:t>99</w:t>
            </w:r>
          </w:p>
        </w:tc>
        <w:tc>
          <w:tcPr>
            <w:tcW w:w="817" w:type="dxa"/>
            <w:tcBorders>
              <w:top w:val="nil"/>
              <w:left w:val="nil"/>
              <w:bottom w:val="single" w:sz="4" w:space="0" w:color="00B050"/>
              <w:right w:val="single" w:sz="4" w:space="0" w:color="00B050"/>
            </w:tcBorders>
            <w:shd w:val="clear" w:color="auto" w:fill="auto"/>
            <w:noWrap/>
            <w:vAlign w:val="center"/>
          </w:tcPr>
          <w:p w14:paraId="022BAD88" w14:textId="77777777" w:rsidR="00003903" w:rsidRPr="00580BD2" w:rsidRDefault="00003903" w:rsidP="00003903">
            <w:pPr>
              <w:jc w:val="right"/>
              <w:rPr>
                <w:rFonts w:cs="Arial"/>
                <w:sz w:val="24"/>
                <w:szCs w:val="24"/>
              </w:rPr>
            </w:pPr>
            <w:r>
              <w:rPr>
                <w:rFonts w:cs="Arial"/>
                <w:sz w:val="24"/>
                <w:szCs w:val="24"/>
              </w:rPr>
              <w:t>72</w:t>
            </w:r>
          </w:p>
        </w:tc>
        <w:tc>
          <w:tcPr>
            <w:tcW w:w="835" w:type="dxa"/>
            <w:tcBorders>
              <w:top w:val="nil"/>
              <w:left w:val="nil"/>
              <w:bottom w:val="single" w:sz="4" w:space="0" w:color="00B050"/>
              <w:right w:val="single" w:sz="4" w:space="0" w:color="00B050"/>
            </w:tcBorders>
            <w:shd w:val="clear" w:color="auto" w:fill="auto"/>
            <w:noWrap/>
            <w:vAlign w:val="center"/>
          </w:tcPr>
          <w:p w14:paraId="60ACE9AF" w14:textId="77777777" w:rsidR="00003903" w:rsidRPr="00580BD2" w:rsidRDefault="00003903" w:rsidP="00003903">
            <w:pPr>
              <w:jc w:val="right"/>
              <w:rPr>
                <w:rFonts w:cs="Arial"/>
                <w:sz w:val="24"/>
                <w:szCs w:val="24"/>
              </w:rPr>
            </w:pPr>
            <w:r>
              <w:rPr>
                <w:rFonts w:cs="Arial"/>
                <w:sz w:val="24"/>
                <w:szCs w:val="24"/>
              </w:rPr>
              <w:t>10</w:t>
            </w:r>
          </w:p>
        </w:tc>
      </w:tr>
      <w:tr w:rsidR="00003903" w:rsidRPr="00580BD2" w14:paraId="7AA53A4B" w14:textId="77777777" w:rsidTr="00003903">
        <w:trPr>
          <w:trHeight w:hRule="exact" w:val="397"/>
        </w:trPr>
        <w:tc>
          <w:tcPr>
            <w:tcW w:w="4155" w:type="dxa"/>
            <w:tcBorders>
              <w:top w:val="nil"/>
              <w:left w:val="single" w:sz="4" w:space="0" w:color="00B050"/>
              <w:bottom w:val="single" w:sz="4" w:space="0" w:color="00B050"/>
              <w:right w:val="single" w:sz="4" w:space="0" w:color="00B050"/>
            </w:tcBorders>
            <w:shd w:val="clear" w:color="auto" w:fill="auto"/>
            <w:noWrap/>
            <w:vAlign w:val="center"/>
            <w:hideMark/>
          </w:tcPr>
          <w:p w14:paraId="2F721A72" w14:textId="77777777" w:rsidR="00003903" w:rsidRPr="00580BD2" w:rsidRDefault="00003903" w:rsidP="00003903">
            <w:pPr>
              <w:rPr>
                <w:rFonts w:cs="Arial"/>
                <w:sz w:val="24"/>
                <w:szCs w:val="24"/>
              </w:rPr>
            </w:pPr>
            <w:r w:rsidRPr="00580BD2">
              <w:rPr>
                <w:rFonts w:cs="Arial"/>
                <w:sz w:val="24"/>
                <w:szCs w:val="24"/>
              </w:rPr>
              <w:t>Rate per 1</w:t>
            </w:r>
            <w:r>
              <w:rPr>
                <w:rFonts w:cs="Arial"/>
                <w:sz w:val="24"/>
                <w:szCs w:val="24"/>
              </w:rPr>
              <w:t>0,</w:t>
            </w:r>
            <w:r w:rsidRPr="00580BD2">
              <w:rPr>
                <w:rFonts w:cs="Arial"/>
                <w:sz w:val="24"/>
                <w:szCs w:val="24"/>
              </w:rPr>
              <w:t>000 children aged 0-5</w:t>
            </w:r>
          </w:p>
        </w:tc>
        <w:tc>
          <w:tcPr>
            <w:tcW w:w="485" w:type="dxa"/>
            <w:tcBorders>
              <w:top w:val="nil"/>
              <w:left w:val="nil"/>
              <w:bottom w:val="single" w:sz="4" w:space="0" w:color="00B050"/>
              <w:right w:val="single" w:sz="4" w:space="0" w:color="00B050"/>
            </w:tcBorders>
            <w:shd w:val="clear" w:color="auto" w:fill="auto"/>
            <w:noWrap/>
            <w:vAlign w:val="center"/>
          </w:tcPr>
          <w:p w14:paraId="476D5DF5" w14:textId="77777777" w:rsidR="00003903" w:rsidRPr="00580BD2" w:rsidRDefault="00003903" w:rsidP="00003903">
            <w:pPr>
              <w:jc w:val="right"/>
              <w:rPr>
                <w:rFonts w:cs="Arial"/>
                <w:sz w:val="24"/>
                <w:szCs w:val="24"/>
              </w:rPr>
            </w:pPr>
            <w:r>
              <w:rPr>
                <w:rFonts w:cs="Arial"/>
                <w:sz w:val="24"/>
                <w:szCs w:val="24"/>
              </w:rPr>
              <w:t>321.8</w:t>
            </w:r>
          </w:p>
        </w:tc>
        <w:tc>
          <w:tcPr>
            <w:tcW w:w="877" w:type="dxa"/>
            <w:tcBorders>
              <w:top w:val="nil"/>
              <w:left w:val="nil"/>
              <w:bottom w:val="single" w:sz="4" w:space="0" w:color="00B050"/>
              <w:right w:val="single" w:sz="4" w:space="0" w:color="00B050"/>
            </w:tcBorders>
            <w:shd w:val="clear" w:color="auto" w:fill="auto"/>
            <w:noWrap/>
            <w:vAlign w:val="center"/>
          </w:tcPr>
          <w:p w14:paraId="49BA51FA" w14:textId="77777777" w:rsidR="00003903" w:rsidRPr="00580BD2" w:rsidRDefault="00003903" w:rsidP="00003903">
            <w:pPr>
              <w:jc w:val="right"/>
              <w:rPr>
                <w:rFonts w:cs="Arial"/>
                <w:sz w:val="24"/>
                <w:szCs w:val="24"/>
              </w:rPr>
            </w:pPr>
            <w:r>
              <w:rPr>
                <w:rFonts w:cs="Arial"/>
                <w:sz w:val="24"/>
                <w:szCs w:val="24"/>
              </w:rPr>
              <w:t>498.3</w:t>
            </w:r>
          </w:p>
        </w:tc>
        <w:tc>
          <w:tcPr>
            <w:tcW w:w="817" w:type="dxa"/>
            <w:tcBorders>
              <w:top w:val="nil"/>
              <w:left w:val="nil"/>
              <w:bottom w:val="single" w:sz="4" w:space="0" w:color="00B050"/>
              <w:right w:val="single" w:sz="4" w:space="0" w:color="00B050"/>
            </w:tcBorders>
            <w:shd w:val="clear" w:color="auto" w:fill="auto"/>
            <w:noWrap/>
            <w:vAlign w:val="center"/>
          </w:tcPr>
          <w:p w14:paraId="0BE7B2B9" w14:textId="77777777" w:rsidR="00003903" w:rsidRPr="00580BD2" w:rsidRDefault="00003903" w:rsidP="00003903">
            <w:pPr>
              <w:jc w:val="right"/>
              <w:rPr>
                <w:rFonts w:cs="Arial"/>
                <w:sz w:val="24"/>
                <w:szCs w:val="24"/>
              </w:rPr>
            </w:pPr>
            <w:r>
              <w:rPr>
                <w:rFonts w:cs="Arial"/>
                <w:sz w:val="24"/>
                <w:szCs w:val="24"/>
              </w:rPr>
              <w:t>144.8</w:t>
            </w:r>
          </w:p>
        </w:tc>
        <w:tc>
          <w:tcPr>
            <w:tcW w:w="817" w:type="dxa"/>
            <w:tcBorders>
              <w:top w:val="nil"/>
              <w:left w:val="nil"/>
              <w:bottom w:val="single" w:sz="4" w:space="0" w:color="00B050"/>
              <w:right w:val="single" w:sz="4" w:space="0" w:color="00B050"/>
            </w:tcBorders>
            <w:shd w:val="clear" w:color="auto" w:fill="auto"/>
            <w:noWrap/>
            <w:vAlign w:val="center"/>
          </w:tcPr>
          <w:p w14:paraId="52C020F2" w14:textId="77777777" w:rsidR="00003903" w:rsidRPr="00580BD2" w:rsidRDefault="00003903" w:rsidP="00003903">
            <w:pPr>
              <w:jc w:val="right"/>
              <w:rPr>
                <w:rFonts w:cs="Arial"/>
                <w:sz w:val="24"/>
                <w:szCs w:val="24"/>
              </w:rPr>
            </w:pPr>
            <w:r>
              <w:rPr>
                <w:rFonts w:cs="Arial"/>
                <w:sz w:val="24"/>
                <w:szCs w:val="24"/>
              </w:rPr>
              <w:t>378.2</w:t>
            </w:r>
          </w:p>
        </w:tc>
        <w:tc>
          <w:tcPr>
            <w:tcW w:w="835" w:type="dxa"/>
            <w:tcBorders>
              <w:top w:val="nil"/>
              <w:left w:val="nil"/>
              <w:bottom w:val="single" w:sz="4" w:space="0" w:color="00B050"/>
              <w:right w:val="single" w:sz="4" w:space="0" w:color="00B050"/>
            </w:tcBorders>
            <w:shd w:val="clear" w:color="auto" w:fill="auto"/>
            <w:noWrap/>
            <w:vAlign w:val="center"/>
          </w:tcPr>
          <w:p w14:paraId="2FBCD788" w14:textId="77777777" w:rsidR="00003903" w:rsidRPr="00580BD2" w:rsidRDefault="00003903" w:rsidP="00003903">
            <w:pPr>
              <w:jc w:val="right"/>
              <w:rPr>
                <w:rFonts w:cs="Arial"/>
                <w:sz w:val="24"/>
                <w:szCs w:val="24"/>
              </w:rPr>
            </w:pPr>
            <w:r>
              <w:rPr>
                <w:rFonts w:cs="Arial"/>
                <w:sz w:val="24"/>
                <w:szCs w:val="24"/>
              </w:rPr>
              <w:t>180.6</w:t>
            </w:r>
          </w:p>
        </w:tc>
      </w:tr>
    </w:tbl>
    <w:bookmarkEnd w:id="25"/>
    <w:p w14:paraId="2FBA50CC" w14:textId="77777777" w:rsidR="00003903" w:rsidRPr="00580BD2" w:rsidRDefault="00003903" w:rsidP="00003903">
      <w:pPr>
        <w:rPr>
          <w:rFonts w:cs="Arial"/>
          <w:sz w:val="24"/>
          <w:szCs w:val="24"/>
        </w:rPr>
      </w:pPr>
      <w:r w:rsidRPr="00580BD2">
        <w:rPr>
          <w:rFonts w:cs="Arial"/>
          <w:sz w:val="24"/>
          <w:szCs w:val="24"/>
        </w:rPr>
        <w:t>Source: Sandwell Children’s Trust</w:t>
      </w:r>
    </w:p>
    <w:p w14:paraId="19BA7E33" w14:textId="77777777" w:rsidR="00003903" w:rsidRPr="00580BD2" w:rsidRDefault="00003903" w:rsidP="00003903">
      <w:pPr>
        <w:rPr>
          <w:rFonts w:cs="Arial"/>
          <w:b/>
          <w:sz w:val="24"/>
          <w:szCs w:val="24"/>
        </w:rPr>
      </w:pPr>
    </w:p>
    <w:p w14:paraId="22882712" w14:textId="77777777" w:rsidR="00003903" w:rsidRPr="00C100DB" w:rsidRDefault="00003903" w:rsidP="00003903">
      <w:pPr>
        <w:rPr>
          <w:rFonts w:cs="Arial"/>
          <w:b/>
          <w:color w:val="FF0000"/>
          <w:sz w:val="24"/>
          <w:szCs w:val="24"/>
        </w:rPr>
      </w:pPr>
      <w:r w:rsidRPr="00C100DB">
        <w:rPr>
          <w:rFonts w:cs="Arial"/>
          <w:b/>
          <w:sz w:val="24"/>
          <w:szCs w:val="24"/>
        </w:rPr>
        <w:t xml:space="preserve">Figure 3.4: Early Help </w:t>
      </w:r>
      <w:r>
        <w:rPr>
          <w:rFonts w:cs="Arial"/>
          <w:b/>
          <w:sz w:val="24"/>
          <w:szCs w:val="24"/>
        </w:rPr>
        <w:t>episodes</w:t>
      </w:r>
      <w:r w:rsidRPr="00C100DB">
        <w:rPr>
          <w:rFonts w:cs="Arial"/>
          <w:b/>
          <w:sz w:val="24"/>
          <w:szCs w:val="24"/>
        </w:rPr>
        <w:t xml:space="preserve"> by ethnicity per 1</w:t>
      </w:r>
      <w:r>
        <w:rPr>
          <w:rFonts w:cs="Arial"/>
          <w:b/>
          <w:sz w:val="24"/>
          <w:szCs w:val="24"/>
        </w:rPr>
        <w:t>0</w:t>
      </w:r>
      <w:r w:rsidRPr="00C100DB">
        <w:rPr>
          <w:rFonts w:cs="Arial"/>
          <w:b/>
          <w:sz w:val="24"/>
          <w:szCs w:val="24"/>
        </w:rPr>
        <w:t>,000 Sandwell population, 2018</w:t>
      </w:r>
      <w:r>
        <w:rPr>
          <w:rFonts w:cs="Arial"/>
          <w:b/>
          <w:sz w:val="24"/>
          <w:szCs w:val="24"/>
        </w:rPr>
        <w:t>/19</w:t>
      </w:r>
    </w:p>
    <w:p w14:paraId="5C4FAE63" w14:textId="77777777" w:rsidR="00003903" w:rsidRPr="00580BD2" w:rsidRDefault="00003903" w:rsidP="00003903">
      <w:pPr>
        <w:rPr>
          <w:rFonts w:cs="Arial"/>
          <w:color w:val="FF0000"/>
          <w:sz w:val="24"/>
          <w:szCs w:val="24"/>
        </w:rPr>
      </w:pPr>
      <w:r>
        <w:rPr>
          <w:noProof/>
        </w:rPr>
        <w:drawing>
          <wp:inline distT="0" distB="0" distL="0" distR="0" wp14:anchorId="27079105" wp14:editId="503EC7CE">
            <wp:extent cx="5416550" cy="3308350"/>
            <wp:effectExtent l="0" t="0" r="12700" b="6350"/>
            <wp:docPr id="39" name="Chart 39">
              <a:extLst xmlns:a="http://schemas.openxmlformats.org/drawingml/2006/main">
                <a:ext uri="{FF2B5EF4-FFF2-40B4-BE49-F238E27FC236}">
                  <a16:creationId xmlns:a16="http://schemas.microsoft.com/office/drawing/2014/main" id="{3722AC9A-69A9-40B7-99F8-E72F81E4A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7E1E56D" w14:textId="77777777" w:rsidR="00003903" w:rsidRDefault="00003903" w:rsidP="00003903">
      <w:pPr>
        <w:rPr>
          <w:rFonts w:cs="Arial"/>
          <w:sz w:val="24"/>
          <w:szCs w:val="24"/>
        </w:rPr>
      </w:pPr>
      <w:r w:rsidRPr="00580BD2">
        <w:rPr>
          <w:rFonts w:cs="Arial"/>
          <w:sz w:val="24"/>
          <w:szCs w:val="24"/>
        </w:rPr>
        <w:t>Source: Sandwell Children’s Trust</w:t>
      </w:r>
    </w:p>
    <w:p w14:paraId="302B8228" w14:textId="77777777" w:rsidR="00003903" w:rsidRPr="00580BD2" w:rsidRDefault="00003903" w:rsidP="00003903">
      <w:pPr>
        <w:rPr>
          <w:rFonts w:cs="Arial"/>
          <w:sz w:val="24"/>
          <w:szCs w:val="24"/>
        </w:rPr>
      </w:pPr>
    </w:p>
    <w:p w14:paraId="102D003E" w14:textId="77777777" w:rsidR="00003903" w:rsidRPr="00580BD2" w:rsidRDefault="00003903" w:rsidP="00003903">
      <w:pPr>
        <w:rPr>
          <w:rFonts w:cs="Arial"/>
          <w:color w:val="FF0000"/>
          <w:sz w:val="24"/>
          <w:szCs w:val="24"/>
        </w:rPr>
      </w:pPr>
      <w:r w:rsidRPr="00580BD2">
        <w:rPr>
          <w:rFonts w:cs="Arial"/>
          <w:sz w:val="24"/>
          <w:szCs w:val="24"/>
        </w:rPr>
        <w:t>The rates for White, Black and Mixed groups are all over 30</w:t>
      </w:r>
      <w:r>
        <w:rPr>
          <w:rFonts w:cs="Arial"/>
          <w:sz w:val="24"/>
          <w:szCs w:val="24"/>
        </w:rPr>
        <w:t>0</w:t>
      </w:r>
      <w:r w:rsidRPr="00580BD2">
        <w:rPr>
          <w:rFonts w:cs="Arial"/>
          <w:sz w:val="24"/>
          <w:szCs w:val="24"/>
        </w:rPr>
        <w:t xml:space="preserve"> per 1</w:t>
      </w:r>
      <w:r>
        <w:rPr>
          <w:rFonts w:cs="Arial"/>
          <w:sz w:val="24"/>
          <w:szCs w:val="24"/>
        </w:rPr>
        <w:t>0</w:t>
      </w:r>
      <w:r w:rsidRPr="00580BD2">
        <w:rPr>
          <w:rFonts w:cs="Arial"/>
          <w:sz w:val="24"/>
          <w:szCs w:val="24"/>
        </w:rPr>
        <w:t xml:space="preserve">,000 – the main difference in terms of ethnicity is that for the Asian </w:t>
      </w:r>
      <w:r>
        <w:rPr>
          <w:rFonts w:cs="Arial"/>
          <w:sz w:val="24"/>
          <w:szCs w:val="24"/>
        </w:rPr>
        <w:t xml:space="preserve">&amp; “Other” </w:t>
      </w:r>
      <w:r w:rsidRPr="00580BD2">
        <w:rPr>
          <w:rFonts w:cs="Arial"/>
          <w:sz w:val="24"/>
          <w:szCs w:val="24"/>
        </w:rPr>
        <w:t>group. At 1</w:t>
      </w:r>
      <w:r>
        <w:rPr>
          <w:rFonts w:cs="Arial"/>
          <w:sz w:val="24"/>
          <w:szCs w:val="24"/>
        </w:rPr>
        <w:t>44.8</w:t>
      </w:r>
      <w:r w:rsidRPr="00580BD2">
        <w:rPr>
          <w:rFonts w:cs="Arial"/>
          <w:sz w:val="24"/>
          <w:szCs w:val="24"/>
        </w:rPr>
        <w:t xml:space="preserve"> </w:t>
      </w:r>
      <w:r>
        <w:rPr>
          <w:rFonts w:cs="Arial"/>
          <w:sz w:val="24"/>
          <w:szCs w:val="24"/>
        </w:rPr>
        <w:t xml:space="preserve">and 180.6 </w:t>
      </w:r>
      <w:r w:rsidRPr="00580BD2">
        <w:rPr>
          <w:rFonts w:cs="Arial"/>
          <w:sz w:val="24"/>
          <w:szCs w:val="24"/>
        </w:rPr>
        <w:t>per 1</w:t>
      </w:r>
      <w:r>
        <w:rPr>
          <w:rFonts w:cs="Arial"/>
          <w:sz w:val="24"/>
          <w:szCs w:val="24"/>
        </w:rPr>
        <w:t>0</w:t>
      </w:r>
      <w:r w:rsidRPr="00580BD2">
        <w:rPr>
          <w:rFonts w:cs="Arial"/>
          <w:sz w:val="24"/>
          <w:szCs w:val="24"/>
        </w:rPr>
        <w:t>,000</w:t>
      </w:r>
      <w:r>
        <w:rPr>
          <w:rFonts w:cs="Arial"/>
          <w:sz w:val="24"/>
          <w:szCs w:val="24"/>
        </w:rPr>
        <w:t xml:space="preserve"> respectively</w:t>
      </w:r>
      <w:r w:rsidRPr="00580BD2">
        <w:rPr>
          <w:rFonts w:cs="Arial"/>
          <w:sz w:val="24"/>
          <w:szCs w:val="24"/>
        </w:rPr>
        <w:t xml:space="preserve">, this is considerably lower than the other ethnic groups. As the difference in </w:t>
      </w:r>
      <w:r>
        <w:rPr>
          <w:rFonts w:cs="Arial"/>
          <w:sz w:val="24"/>
          <w:szCs w:val="24"/>
        </w:rPr>
        <w:t>episode</w:t>
      </w:r>
      <w:r w:rsidRPr="00580BD2">
        <w:rPr>
          <w:rFonts w:cs="Arial"/>
          <w:sz w:val="24"/>
          <w:szCs w:val="24"/>
        </w:rPr>
        <w:t xml:space="preserve"> rate is so stark between groups, it is important that we investigate this further to understand if the low </w:t>
      </w:r>
      <w:r>
        <w:rPr>
          <w:rFonts w:cs="Arial"/>
          <w:sz w:val="24"/>
          <w:szCs w:val="24"/>
        </w:rPr>
        <w:t>number of episodes</w:t>
      </w:r>
      <w:r w:rsidRPr="00580BD2">
        <w:rPr>
          <w:rFonts w:cs="Arial"/>
          <w:sz w:val="24"/>
          <w:szCs w:val="24"/>
        </w:rPr>
        <w:t xml:space="preserve"> reflects under</w:t>
      </w:r>
      <w:r>
        <w:rPr>
          <w:rFonts w:cs="Arial"/>
          <w:sz w:val="24"/>
          <w:szCs w:val="24"/>
        </w:rPr>
        <w:t>-presenting</w:t>
      </w:r>
      <w:r w:rsidRPr="00580BD2">
        <w:rPr>
          <w:rFonts w:cs="Arial"/>
          <w:sz w:val="24"/>
          <w:szCs w:val="24"/>
        </w:rPr>
        <w:t xml:space="preserve"> among th</w:t>
      </w:r>
      <w:r>
        <w:rPr>
          <w:rFonts w:cs="Arial"/>
          <w:sz w:val="24"/>
          <w:szCs w:val="24"/>
        </w:rPr>
        <w:t>e</w:t>
      </w:r>
      <w:r w:rsidRPr="00580BD2">
        <w:rPr>
          <w:rFonts w:cs="Arial"/>
          <w:sz w:val="24"/>
          <w:szCs w:val="24"/>
        </w:rPr>
        <w:t>s</w:t>
      </w:r>
      <w:r>
        <w:rPr>
          <w:rFonts w:cs="Arial"/>
          <w:sz w:val="24"/>
          <w:szCs w:val="24"/>
        </w:rPr>
        <w:t>e</w:t>
      </w:r>
      <w:r w:rsidRPr="00580BD2">
        <w:rPr>
          <w:rFonts w:cs="Arial"/>
          <w:sz w:val="24"/>
          <w:szCs w:val="24"/>
        </w:rPr>
        <w:t xml:space="preserve"> group</w:t>
      </w:r>
      <w:r>
        <w:rPr>
          <w:rFonts w:cs="Arial"/>
          <w:sz w:val="24"/>
          <w:szCs w:val="24"/>
        </w:rPr>
        <w:t>s</w:t>
      </w:r>
      <w:r w:rsidRPr="00580BD2">
        <w:rPr>
          <w:rFonts w:cs="Arial"/>
          <w:sz w:val="24"/>
          <w:szCs w:val="24"/>
        </w:rPr>
        <w:t xml:space="preserve"> which is masking unmet need.</w:t>
      </w:r>
      <w:r w:rsidRPr="00580BD2">
        <w:rPr>
          <w:rFonts w:cs="Arial"/>
          <w:color w:val="FF0000"/>
          <w:sz w:val="24"/>
          <w:szCs w:val="24"/>
        </w:rPr>
        <w:t xml:space="preserve">  </w:t>
      </w:r>
      <w:r w:rsidRPr="008432D4">
        <w:rPr>
          <w:rFonts w:cs="Arial"/>
          <w:sz w:val="24"/>
          <w:szCs w:val="24"/>
        </w:rPr>
        <w:t xml:space="preserve">However, there are </w:t>
      </w:r>
      <w:r>
        <w:rPr>
          <w:rFonts w:cs="Arial"/>
          <w:sz w:val="24"/>
          <w:szCs w:val="24"/>
        </w:rPr>
        <w:t>300</w:t>
      </w:r>
      <w:r w:rsidRPr="008432D4">
        <w:rPr>
          <w:rFonts w:cs="Arial"/>
          <w:sz w:val="24"/>
          <w:szCs w:val="24"/>
        </w:rPr>
        <w:t xml:space="preserve"> further cases where ethnicity data has not yet been obtained – this will affect final rates for individual groups.  </w:t>
      </w:r>
    </w:p>
    <w:p w14:paraId="296EF77B" w14:textId="77777777" w:rsidR="00003903" w:rsidRDefault="00003903" w:rsidP="00003903">
      <w:pPr>
        <w:rPr>
          <w:rFonts w:cs="Arial"/>
          <w:color w:val="FF0000"/>
          <w:sz w:val="24"/>
          <w:szCs w:val="24"/>
        </w:rPr>
      </w:pPr>
    </w:p>
    <w:p w14:paraId="211902ED" w14:textId="77777777" w:rsidR="00003903" w:rsidRPr="002F2ED0" w:rsidRDefault="00003903" w:rsidP="005B1F6D">
      <w:pPr>
        <w:pStyle w:val="Heading2"/>
      </w:pPr>
      <w:bookmarkStart w:id="26" w:name="_Hlk13839337"/>
      <w:r w:rsidRPr="002F2ED0">
        <w:t>Children in Need</w:t>
      </w:r>
    </w:p>
    <w:p w14:paraId="5791FE63" w14:textId="77777777" w:rsidR="00003903" w:rsidRPr="00C37AC4" w:rsidRDefault="00003903" w:rsidP="00003903">
      <w:pPr>
        <w:rPr>
          <w:sz w:val="24"/>
          <w:szCs w:val="24"/>
          <w:lang w:eastAsia="en-GB"/>
        </w:rPr>
      </w:pPr>
      <w:r w:rsidRPr="00C37AC4">
        <w:rPr>
          <w:rFonts w:cs="Arial"/>
          <w:sz w:val="24"/>
          <w:szCs w:val="24"/>
        </w:rPr>
        <w:t>Based on the legal definition of ‘children in need’ under Section 17 of the Children Act 1989, a child in need is one who has been assessed by children’s social care to be in need of services and is unlikely to maintain a reasonable standard of health or development and whose health and development is likely to be significantly impaired without the provision of services by a local authority. This includes children who have a substantial or permanent disability.</w:t>
      </w:r>
      <w:r>
        <w:rPr>
          <w:rFonts w:cs="Arial"/>
          <w:sz w:val="24"/>
          <w:szCs w:val="24"/>
        </w:rPr>
        <w:t xml:space="preserve"> </w:t>
      </w:r>
      <w:r>
        <w:rPr>
          <w:rFonts w:cstheme="majorHAnsi"/>
          <w:sz w:val="24"/>
          <w:szCs w:val="24"/>
        </w:rPr>
        <w:t>This measure counts the number of children subject of a child protection plan, children who are looked after, care leavers and children with a child in need plan or undergoing an assessment under Section 17 of the Children Act 1989</w:t>
      </w:r>
      <w:r w:rsidRPr="00580BD2">
        <w:rPr>
          <w:rFonts w:cstheme="majorHAnsi"/>
          <w:sz w:val="24"/>
          <w:szCs w:val="24"/>
        </w:rPr>
        <w:t>.</w:t>
      </w:r>
    </w:p>
    <w:bookmarkEnd w:id="26"/>
    <w:p w14:paraId="16D8EFF6" w14:textId="77777777" w:rsidR="00003903" w:rsidRPr="00580BD2" w:rsidRDefault="00003903" w:rsidP="003857B0">
      <w:pPr>
        <w:pStyle w:val="ListParagraph"/>
        <w:numPr>
          <w:ilvl w:val="0"/>
          <w:numId w:val="5"/>
        </w:numPr>
        <w:ind w:left="1208" w:hanging="357"/>
        <w:contextualSpacing w:val="0"/>
        <w:rPr>
          <w:rFonts w:cstheme="majorHAnsi"/>
          <w:sz w:val="24"/>
          <w:szCs w:val="24"/>
          <w:u w:val="single"/>
        </w:rPr>
      </w:pPr>
      <w:r w:rsidRPr="00580BD2">
        <w:rPr>
          <w:rFonts w:cstheme="majorHAnsi"/>
          <w:sz w:val="24"/>
          <w:szCs w:val="24"/>
        </w:rPr>
        <w:t xml:space="preserve">Sandwell had a rate of </w:t>
      </w:r>
      <w:r>
        <w:rPr>
          <w:rFonts w:cstheme="majorHAnsi"/>
          <w:sz w:val="24"/>
          <w:szCs w:val="24"/>
        </w:rPr>
        <w:t>473.5</w:t>
      </w:r>
      <w:r w:rsidRPr="00580BD2">
        <w:rPr>
          <w:rFonts w:cstheme="majorHAnsi"/>
          <w:sz w:val="24"/>
          <w:szCs w:val="24"/>
        </w:rPr>
        <w:t xml:space="preserve"> child</w:t>
      </w:r>
      <w:r>
        <w:rPr>
          <w:rFonts w:cstheme="majorHAnsi"/>
          <w:sz w:val="24"/>
          <w:szCs w:val="24"/>
        </w:rPr>
        <w:t>ren</w:t>
      </w:r>
      <w:r w:rsidRPr="00580BD2">
        <w:rPr>
          <w:rFonts w:cstheme="majorHAnsi"/>
          <w:sz w:val="24"/>
          <w:szCs w:val="24"/>
        </w:rPr>
        <w:t xml:space="preserve"> in need per 10,000 children (age 0-17) </w:t>
      </w:r>
      <w:r>
        <w:rPr>
          <w:rFonts w:cstheme="majorHAnsi"/>
          <w:sz w:val="24"/>
          <w:szCs w:val="24"/>
        </w:rPr>
        <w:t>as at 31</w:t>
      </w:r>
      <w:r w:rsidRPr="00B66AD6">
        <w:rPr>
          <w:rFonts w:cstheme="majorHAnsi"/>
          <w:sz w:val="24"/>
          <w:szCs w:val="24"/>
          <w:vertAlign w:val="superscript"/>
        </w:rPr>
        <w:t>st</w:t>
      </w:r>
      <w:r>
        <w:rPr>
          <w:rFonts w:cstheme="majorHAnsi"/>
          <w:sz w:val="24"/>
          <w:szCs w:val="24"/>
        </w:rPr>
        <w:t xml:space="preserve"> March 2019.</w:t>
      </w:r>
    </w:p>
    <w:p w14:paraId="1B7A7B99" w14:textId="77777777" w:rsidR="00003903" w:rsidRPr="007F213F" w:rsidRDefault="00003903" w:rsidP="003857B0">
      <w:pPr>
        <w:pStyle w:val="ListParagraph"/>
        <w:numPr>
          <w:ilvl w:val="0"/>
          <w:numId w:val="5"/>
        </w:numPr>
        <w:ind w:left="1208" w:hanging="357"/>
        <w:contextualSpacing w:val="0"/>
        <w:rPr>
          <w:rFonts w:cstheme="majorHAnsi"/>
          <w:sz w:val="24"/>
          <w:szCs w:val="24"/>
          <w:u w:val="single"/>
        </w:rPr>
      </w:pPr>
      <w:r w:rsidRPr="007F213F">
        <w:rPr>
          <w:rFonts w:cstheme="majorHAnsi"/>
          <w:sz w:val="24"/>
          <w:szCs w:val="24"/>
        </w:rPr>
        <w:t xml:space="preserve">Sandwell’s rate </w:t>
      </w:r>
      <w:r>
        <w:rPr>
          <w:rFonts w:cstheme="majorHAnsi"/>
          <w:sz w:val="24"/>
          <w:szCs w:val="24"/>
        </w:rPr>
        <w:t xml:space="preserve">in this measure </w:t>
      </w:r>
      <w:r w:rsidRPr="007F213F">
        <w:rPr>
          <w:rFonts w:cstheme="majorHAnsi"/>
          <w:sz w:val="24"/>
          <w:szCs w:val="24"/>
        </w:rPr>
        <w:t xml:space="preserve">has been continuing to increase since </w:t>
      </w:r>
      <w:r>
        <w:rPr>
          <w:rFonts w:cstheme="majorHAnsi"/>
          <w:sz w:val="24"/>
          <w:szCs w:val="24"/>
        </w:rPr>
        <w:t>31</w:t>
      </w:r>
      <w:r w:rsidRPr="0090340F">
        <w:rPr>
          <w:rFonts w:cstheme="majorHAnsi"/>
          <w:sz w:val="24"/>
          <w:szCs w:val="24"/>
          <w:vertAlign w:val="superscript"/>
        </w:rPr>
        <w:t>st</w:t>
      </w:r>
      <w:r>
        <w:rPr>
          <w:rFonts w:cstheme="majorHAnsi"/>
          <w:sz w:val="24"/>
          <w:szCs w:val="24"/>
        </w:rPr>
        <w:t xml:space="preserve"> March </w:t>
      </w:r>
      <w:r w:rsidRPr="007F213F">
        <w:rPr>
          <w:rFonts w:cstheme="majorHAnsi"/>
          <w:sz w:val="24"/>
          <w:szCs w:val="24"/>
        </w:rPr>
        <w:t xml:space="preserve">2015, </w:t>
      </w:r>
      <w:r>
        <w:rPr>
          <w:rFonts w:cstheme="majorHAnsi"/>
          <w:sz w:val="24"/>
          <w:szCs w:val="24"/>
        </w:rPr>
        <w:t xml:space="preserve">and in 2018/19 there was </w:t>
      </w:r>
      <w:r w:rsidRPr="007F213F">
        <w:rPr>
          <w:rFonts w:cstheme="majorHAnsi"/>
          <w:sz w:val="24"/>
          <w:szCs w:val="24"/>
        </w:rPr>
        <w:t>a 4.</w:t>
      </w:r>
      <w:r>
        <w:rPr>
          <w:rFonts w:cstheme="majorHAnsi"/>
          <w:sz w:val="24"/>
          <w:szCs w:val="24"/>
        </w:rPr>
        <w:t>9</w:t>
      </w:r>
      <w:r w:rsidRPr="007F213F">
        <w:rPr>
          <w:rFonts w:cstheme="majorHAnsi"/>
          <w:sz w:val="24"/>
          <w:szCs w:val="24"/>
        </w:rPr>
        <w:t>% increase in its rate from 2017</w:t>
      </w:r>
      <w:r>
        <w:rPr>
          <w:rFonts w:cstheme="majorHAnsi"/>
          <w:sz w:val="24"/>
          <w:szCs w:val="24"/>
        </w:rPr>
        <w:t>/</w:t>
      </w:r>
      <w:r w:rsidRPr="007F213F">
        <w:rPr>
          <w:rFonts w:cstheme="majorHAnsi"/>
          <w:sz w:val="24"/>
          <w:szCs w:val="24"/>
        </w:rPr>
        <w:t>18</w:t>
      </w:r>
      <w:r>
        <w:rPr>
          <w:rFonts w:cstheme="majorHAnsi"/>
          <w:sz w:val="24"/>
          <w:szCs w:val="24"/>
        </w:rPr>
        <w:t>.</w:t>
      </w:r>
    </w:p>
    <w:p w14:paraId="44E45E25" w14:textId="77777777" w:rsidR="00003903" w:rsidRPr="00580BD2" w:rsidRDefault="00003903" w:rsidP="003857B0">
      <w:pPr>
        <w:pStyle w:val="ListParagraph"/>
        <w:numPr>
          <w:ilvl w:val="0"/>
          <w:numId w:val="5"/>
        </w:numPr>
        <w:ind w:left="1208" w:hanging="357"/>
        <w:contextualSpacing w:val="0"/>
        <w:rPr>
          <w:rFonts w:cstheme="majorHAnsi"/>
          <w:sz w:val="24"/>
          <w:szCs w:val="24"/>
          <w:u w:val="single"/>
        </w:rPr>
      </w:pPr>
      <w:r w:rsidRPr="00580BD2">
        <w:rPr>
          <w:rFonts w:cstheme="majorHAnsi"/>
          <w:sz w:val="24"/>
          <w:szCs w:val="24"/>
        </w:rPr>
        <w:t xml:space="preserve">In previous years, Sandwell’s rate has been lower than its statistical neighbours, West Midlands and England.  However, </w:t>
      </w:r>
      <w:r>
        <w:rPr>
          <w:rFonts w:cstheme="majorHAnsi"/>
          <w:sz w:val="24"/>
          <w:szCs w:val="24"/>
        </w:rPr>
        <w:t>as at 31</w:t>
      </w:r>
      <w:r w:rsidRPr="00FE3390">
        <w:rPr>
          <w:rFonts w:cstheme="majorHAnsi"/>
          <w:sz w:val="24"/>
          <w:szCs w:val="24"/>
          <w:vertAlign w:val="superscript"/>
        </w:rPr>
        <w:t>st</w:t>
      </w:r>
      <w:r>
        <w:rPr>
          <w:rFonts w:cstheme="majorHAnsi"/>
          <w:sz w:val="24"/>
          <w:szCs w:val="24"/>
        </w:rPr>
        <w:t xml:space="preserve"> March 2019,</w:t>
      </w:r>
      <w:r w:rsidRPr="00580BD2">
        <w:rPr>
          <w:rFonts w:cstheme="majorHAnsi"/>
          <w:sz w:val="24"/>
          <w:szCs w:val="24"/>
        </w:rPr>
        <w:t xml:space="preserve"> Sandwell’s rate was higher at </w:t>
      </w:r>
      <w:r>
        <w:rPr>
          <w:rFonts w:cstheme="majorHAnsi"/>
          <w:sz w:val="24"/>
          <w:szCs w:val="24"/>
        </w:rPr>
        <w:t>473.5</w:t>
      </w:r>
      <w:r w:rsidRPr="00580BD2">
        <w:rPr>
          <w:rFonts w:cstheme="majorHAnsi"/>
          <w:sz w:val="24"/>
          <w:szCs w:val="24"/>
        </w:rPr>
        <w:t>; statistical neighbours (</w:t>
      </w:r>
      <w:r>
        <w:rPr>
          <w:rFonts w:cstheme="majorHAnsi"/>
          <w:sz w:val="24"/>
          <w:szCs w:val="24"/>
        </w:rPr>
        <w:t>422</w:t>
      </w:r>
      <w:r w:rsidRPr="00580BD2">
        <w:rPr>
          <w:rFonts w:cstheme="majorHAnsi"/>
          <w:sz w:val="24"/>
          <w:szCs w:val="24"/>
        </w:rPr>
        <w:t>); England (</w:t>
      </w:r>
      <w:r>
        <w:rPr>
          <w:rFonts w:cstheme="majorHAnsi"/>
          <w:sz w:val="24"/>
          <w:szCs w:val="24"/>
        </w:rPr>
        <w:t>334</w:t>
      </w:r>
      <w:r w:rsidRPr="00580BD2">
        <w:rPr>
          <w:rFonts w:cstheme="majorHAnsi"/>
          <w:sz w:val="24"/>
          <w:szCs w:val="24"/>
        </w:rPr>
        <w:t>); West Midlands (</w:t>
      </w:r>
      <w:r>
        <w:rPr>
          <w:rFonts w:cstheme="majorHAnsi"/>
          <w:sz w:val="24"/>
          <w:szCs w:val="24"/>
        </w:rPr>
        <w:t>352</w:t>
      </w:r>
      <w:r w:rsidRPr="00580BD2">
        <w:rPr>
          <w:rFonts w:cstheme="majorHAnsi"/>
          <w:sz w:val="24"/>
          <w:szCs w:val="24"/>
        </w:rPr>
        <w:t>)</w:t>
      </w:r>
      <w:r>
        <w:rPr>
          <w:rFonts w:cstheme="majorHAnsi"/>
          <w:sz w:val="24"/>
          <w:szCs w:val="24"/>
        </w:rPr>
        <w:t>.</w:t>
      </w:r>
    </w:p>
    <w:p w14:paraId="07FC88D0" w14:textId="77777777" w:rsidR="00003903" w:rsidRDefault="00003903" w:rsidP="00003903">
      <w:pPr>
        <w:rPr>
          <w:sz w:val="24"/>
          <w:szCs w:val="24"/>
          <w:lang w:eastAsia="en-GB"/>
        </w:rPr>
      </w:pPr>
    </w:p>
    <w:p w14:paraId="7E193F18" w14:textId="4CD0D17F" w:rsidR="00003903" w:rsidRPr="007F213F" w:rsidRDefault="00003903" w:rsidP="00003903">
      <w:pPr>
        <w:rPr>
          <w:b/>
        </w:rPr>
      </w:pPr>
      <w:r w:rsidRPr="007F213F">
        <w:rPr>
          <w:b/>
          <w:sz w:val="24"/>
          <w:szCs w:val="24"/>
          <w:lang w:eastAsia="en-GB"/>
        </w:rPr>
        <w:t>Figure 3.5</w:t>
      </w:r>
      <w:r w:rsidR="00D05BB1">
        <w:rPr>
          <w:b/>
          <w:sz w:val="24"/>
          <w:szCs w:val="24"/>
          <w:lang w:eastAsia="en-GB"/>
        </w:rPr>
        <w:t>:</w:t>
      </w:r>
      <w:r w:rsidRPr="007F213F">
        <w:rPr>
          <w:b/>
          <w:sz w:val="24"/>
          <w:szCs w:val="24"/>
          <w:lang w:eastAsia="en-GB"/>
        </w:rPr>
        <w:t xml:space="preserve"> </w:t>
      </w:r>
      <w:r w:rsidRPr="007F213F">
        <w:rPr>
          <w:b/>
          <w:sz w:val="24"/>
          <w:szCs w:val="24"/>
        </w:rPr>
        <w:t xml:space="preserve">Rate of children </w:t>
      </w:r>
      <w:r>
        <w:rPr>
          <w:b/>
          <w:sz w:val="24"/>
          <w:szCs w:val="24"/>
        </w:rPr>
        <w:t>in need</w:t>
      </w:r>
      <w:r w:rsidRPr="007F213F">
        <w:rPr>
          <w:b/>
          <w:sz w:val="24"/>
          <w:szCs w:val="24"/>
        </w:rPr>
        <w:t xml:space="preserve"> </w:t>
      </w:r>
      <w:r>
        <w:rPr>
          <w:b/>
          <w:sz w:val="24"/>
          <w:szCs w:val="24"/>
        </w:rPr>
        <w:t>as at 31</w:t>
      </w:r>
      <w:r w:rsidRPr="00FE3390">
        <w:rPr>
          <w:b/>
          <w:sz w:val="24"/>
          <w:szCs w:val="24"/>
          <w:vertAlign w:val="superscript"/>
        </w:rPr>
        <w:t>st</w:t>
      </w:r>
      <w:r>
        <w:rPr>
          <w:b/>
          <w:sz w:val="24"/>
          <w:szCs w:val="24"/>
        </w:rPr>
        <w:t xml:space="preserve"> March</w:t>
      </w:r>
      <w:r w:rsidRPr="007F213F">
        <w:rPr>
          <w:b/>
          <w:sz w:val="24"/>
          <w:szCs w:val="24"/>
        </w:rPr>
        <w:t xml:space="preserve"> per 10,000 children (0-17 year olds)</w:t>
      </w:r>
    </w:p>
    <w:p w14:paraId="29966A04" w14:textId="77777777" w:rsidR="00003903" w:rsidRPr="00580BD2" w:rsidRDefault="00003903" w:rsidP="00003903">
      <w:pPr>
        <w:rPr>
          <w:rFonts w:eastAsia="Times New Roman"/>
          <w:sz w:val="24"/>
          <w:szCs w:val="24"/>
          <w:lang w:eastAsia="en-GB"/>
        </w:rPr>
      </w:pPr>
      <w:r>
        <w:rPr>
          <w:noProof/>
        </w:rPr>
        <w:drawing>
          <wp:inline distT="0" distB="0" distL="0" distR="0" wp14:anchorId="59667F45" wp14:editId="1383F8D0">
            <wp:extent cx="5689600" cy="3454400"/>
            <wp:effectExtent l="0" t="0" r="6350" b="12700"/>
            <wp:docPr id="41" name="Chart 41">
              <a:extLst xmlns:a="http://schemas.openxmlformats.org/drawingml/2006/main">
                <a:ext uri="{FF2B5EF4-FFF2-40B4-BE49-F238E27FC236}">
                  <a16:creationId xmlns:a16="http://schemas.microsoft.com/office/drawing/2014/main" id="{8A67B08A-3BA9-4727-9E56-B56118754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A6DDD52" w14:textId="77777777" w:rsidR="00003903" w:rsidRDefault="00003903" w:rsidP="00003903">
      <w:pPr>
        <w:rPr>
          <w:rFonts w:cs="Arial"/>
          <w:sz w:val="24"/>
          <w:szCs w:val="24"/>
        </w:rPr>
      </w:pPr>
      <w:r w:rsidRPr="00580BD2">
        <w:rPr>
          <w:rFonts w:cs="Arial"/>
          <w:sz w:val="24"/>
          <w:szCs w:val="24"/>
        </w:rPr>
        <w:t>Source: Sandwell Children’s Trust</w:t>
      </w:r>
    </w:p>
    <w:p w14:paraId="33D0394E" w14:textId="77777777" w:rsidR="00003903" w:rsidRDefault="00003903" w:rsidP="00003903">
      <w:pPr>
        <w:rPr>
          <w:rFonts w:cs="Arial"/>
          <w:b/>
          <w:sz w:val="24"/>
          <w:szCs w:val="24"/>
        </w:rPr>
      </w:pPr>
      <w:r>
        <w:rPr>
          <w:rFonts w:cs="Arial"/>
          <w:b/>
          <w:sz w:val="24"/>
          <w:szCs w:val="24"/>
        </w:rPr>
        <w:br/>
      </w:r>
      <w:r w:rsidRPr="007F213F">
        <w:rPr>
          <w:rFonts w:cs="Arial"/>
          <w:b/>
          <w:sz w:val="24"/>
          <w:szCs w:val="24"/>
        </w:rPr>
        <w:t xml:space="preserve">Table 3.2: Age Breakdown of Children </w:t>
      </w:r>
      <w:r>
        <w:rPr>
          <w:rFonts w:cs="Arial"/>
          <w:b/>
          <w:sz w:val="24"/>
          <w:szCs w:val="24"/>
        </w:rPr>
        <w:t>with a child in need plan or undergoing an assessment</w:t>
      </w:r>
      <w:r w:rsidRPr="007F213F">
        <w:rPr>
          <w:rFonts w:cs="Arial"/>
          <w:b/>
          <w:sz w:val="24"/>
          <w:szCs w:val="24"/>
        </w:rPr>
        <w:t xml:space="preserve"> - </w:t>
      </w:r>
      <w:r w:rsidRPr="008C2C13">
        <w:rPr>
          <w:rFonts w:cs="Arial"/>
          <w:b/>
          <w:sz w:val="24"/>
          <w:szCs w:val="24"/>
        </w:rPr>
        <w:t>as at 31/3/2019</w:t>
      </w:r>
      <w:r w:rsidRPr="008C2C13">
        <w:rPr>
          <w:rFonts w:cs="Arial"/>
          <w:b/>
        </w:rPr>
        <w:t xml:space="preserve"> (excluding Children in Care and children with a child protection plan) </w:t>
      </w:r>
      <w:r w:rsidRPr="008C2C13">
        <w:rPr>
          <w:rFonts w:cs="Arial"/>
          <w:b/>
          <w:sz w:val="24"/>
          <w:szCs w:val="24"/>
        </w:rPr>
        <w:t>with an open referral on LCS</w:t>
      </w:r>
    </w:p>
    <w:tbl>
      <w:tblPr>
        <w:tblW w:w="8407" w:type="dxa"/>
        <w:tblInd w:w="93" w:type="dxa"/>
        <w:tblLook w:val="04A0" w:firstRow="1" w:lastRow="0" w:firstColumn="1" w:lastColumn="0" w:noHBand="0" w:noVBand="1"/>
      </w:tblPr>
      <w:tblGrid>
        <w:gridCol w:w="1887"/>
        <w:gridCol w:w="1843"/>
        <w:gridCol w:w="1842"/>
        <w:gridCol w:w="2835"/>
      </w:tblGrid>
      <w:tr w:rsidR="00003903" w:rsidRPr="00580BD2" w14:paraId="61E3BB4B" w14:textId="77777777" w:rsidTr="00003903">
        <w:trPr>
          <w:trHeight w:hRule="exact" w:val="680"/>
        </w:trPr>
        <w:tc>
          <w:tcPr>
            <w:tcW w:w="1887" w:type="dxa"/>
            <w:tcBorders>
              <w:top w:val="single" w:sz="4" w:space="0" w:color="00B050"/>
              <w:left w:val="single" w:sz="4" w:space="0" w:color="00B050"/>
              <w:bottom w:val="single" w:sz="4" w:space="0" w:color="00B050"/>
              <w:right w:val="single" w:sz="4" w:space="0" w:color="00B050"/>
            </w:tcBorders>
            <w:shd w:val="clear" w:color="000000" w:fill="D9D9D9"/>
            <w:vAlign w:val="center"/>
            <w:hideMark/>
          </w:tcPr>
          <w:p w14:paraId="563326BF" w14:textId="77777777" w:rsidR="00003903" w:rsidRPr="00580BD2" w:rsidRDefault="00003903" w:rsidP="00003903">
            <w:pPr>
              <w:jc w:val="center"/>
              <w:rPr>
                <w:rFonts w:cs="Arial"/>
                <w:sz w:val="24"/>
                <w:szCs w:val="24"/>
              </w:rPr>
            </w:pPr>
            <w:r w:rsidRPr="00580BD2">
              <w:rPr>
                <w:rFonts w:cs="Arial"/>
                <w:sz w:val="24"/>
                <w:szCs w:val="24"/>
              </w:rPr>
              <w:t>Age Group</w:t>
            </w:r>
          </w:p>
        </w:tc>
        <w:tc>
          <w:tcPr>
            <w:tcW w:w="1843" w:type="dxa"/>
            <w:tcBorders>
              <w:top w:val="single" w:sz="4" w:space="0" w:color="00B050"/>
              <w:left w:val="nil"/>
              <w:bottom w:val="single" w:sz="4" w:space="0" w:color="00B050"/>
              <w:right w:val="single" w:sz="4" w:space="0" w:color="00B050"/>
            </w:tcBorders>
            <w:shd w:val="clear" w:color="000000" w:fill="D9D9D9"/>
            <w:vAlign w:val="center"/>
            <w:hideMark/>
          </w:tcPr>
          <w:p w14:paraId="03625D2F" w14:textId="77777777" w:rsidR="00003903" w:rsidRPr="00580BD2" w:rsidRDefault="00003903" w:rsidP="00003903">
            <w:pPr>
              <w:jc w:val="center"/>
              <w:rPr>
                <w:rFonts w:cs="Arial"/>
                <w:sz w:val="24"/>
                <w:szCs w:val="24"/>
              </w:rPr>
            </w:pPr>
            <w:r w:rsidRPr="00580BD2">
              <w:rPr>
                <w:rFonts w:cs="Arial"/>
                <w:sz w:val="24"/>
                <w:szCs w:val="24"/>
              </w:rPr>
              <w:t>Number</w:t>
            </w:r>
          </w:p>
        </w:tc>
        <w:tc>
          <w:tcPr>
            <w:tcW w:w="1842" w:type="dxa"/>
            <w:tcBorders>
              <w:top w:val="single" w:sz="4" w:space="0" w:color="00B050"/>
              <w:left w:val="nil"/>
              <w:bottom w:val="single" w:sz="4" w:space="0" w:color="00B050"/>
              <w:right w:val="single" w:sz="4" w:space="0" w:color="00B050"/>
            </w:tcBorders>
            <w:shd w:val="clear" w:color="000000" w:fill="D9D9D9"/>
            <w:vAlign w:val="center"/>
            <w:hideMark/>
          </w:tcPr>
          <w:p w14:paraId="6F9D87D9" w14:textId="77777777" w:rsidR="00003903" w:rsidRPr="00580BD2" w:rsidRDefault="00003903" w:rsidP="00003903">
            <w:pPr>
              <w:jc w:val="center"/>
              <w:rPr>
                <w:rFonts w:cs="Arial"/>
                <w:sz w:val="24"/>
                <w:szCs w:val="24"/>
              </w:rPr>
            </w:pPr>
            <w:r w:rsidRPr="00580BD2">
              <w:rPr>
                <w:rFonts w:cs="Arial"/>
                <w:sz w:val="24"/>
                <w:szCs w:val="24"/>
              </w:rPr>
              <w:t>Percentage</w:t>
            </w:r>
          </w:p>
        </w:tc>
        <w:tc>
          <w:tcPr>
            <w:tcW w:w="2835" w:type="dxa"/>
            <w:tcBorders>
              <w:top w:val="single" w:sz="4" w:space="0" w:color="00B050"/>
              <w:left w:val="nil"/>
              <w:bottom w:val="single" w:sz="4" w:space="0" w:color="00B050"/>
              <w:right w:val="single" w:sz="4" w:space="0" w:color="00B050"/>
            </w:tcBorders>
            <w:shd w:val="clear" w:color="000000" w:fill="D9D9D9"/>
            <w:vAlign w:val="center"/>
            <w:hideMark/>
          </w:tcPr>
          <w:p w14:paraId="09717D62" w14:textId="77777777" w:rsidR="00003903" w:rsidRPr="00580BD2" w:rsidRDefault="00003903" w:rsidP="00003903">
            <w:pPr>
              <w:jc w:val="center"/>
              <w:rPr>
                <w:rFonts w:cs="Arial"/>
                <w:sz w:val="24"/>
                <w:szCs w:val="24"/>
              </w:rPr>
            </w:pPr>
            <w:r w:rsidRPr="00580BD2">
              <w:rPr>
                <w:rFonts w:cs="Arial"/>
                <w:sz w:val="24"/>
                <w:szCs w:val="24"/>
              </w:rPr>
              <w:t>CIN Census England average 201</w:t>
            </w:r>
            <w:r>
              <w:rPr>
                <w:rFonts w:cs="Arial"/>
                <w:sz w:val="24"/>
                <w:szCs w:val="24"/>
              </w:rPr>
              <w:t>9</w:t>
            </w:r>
          </w:p>
        </w:tc>
      </w:tr>
      <w:tr w:rsidR="00003903" w:rsidRPr="00580BD2" w14:paraId="2582725F" w14:textId="77777777" w:rsidTr="00003903">
        <w:trPr>
          <w:trHeight w:hRule="exact" w:val="340"/>
        </w:trPr>
        <w:tc>
          <w:tcPr>
            <w:tcW w:w="1887" w:type="dxa"/>
            <w:tcBorders>
              <w:top w:val="nil"/>
              <w:left w:val="single" w:sz="4" w:space="0" w:color="00B050"/>
              <w:bottom w:val="single" w:sz="4" w:space="0" w:color="00B050"/>
              <w:right w:val="single" w:sz="4" w:space="0" w:color="00B050"/>
            </w:tcBorders>
            <w:shd w:val="clear" w:color="auto" w:fill="auto"/>
            <w:noWrap/>
            <w:vAlign w:val="bottom"/>
            <w:hideMark/>
          </w:tcPr>
          <w:p w14:paraId="789509E7" w14:textId="77777777" w:rsidR="00003903" w:rsidRPr="00580BD2" w:rsidRDefault="00003903" w:rsidP="00003903">
            <w:pPr>
              <w:jc w:val="right"/>
              <w:rPr>
                <w:rFonts w:cs="Arial"/>
                <w:sz w:val="24"/>
                <w:szCs w:val="24"/>
              </w:rPr>
            </w:pPr>
            <w:r w:rsidRPr="00580BD2">
              <w:rPr>
                <w:rFonts w:cs="Arial"/>
                <w:sz w:val="24"/>
                <w:szCs w:val="24"/>
              </w:rPr>
              <w:t>Under 1</w:t>
            </w:r>
          </w:p>
        </w:tc>
        <w:tc>
          <w:tcPr>
            <w:tcW w:w="1843" w:type="dxa"/>
            <w:tcBorders>
              <w:top w:val="nil"/>
              <w:left w:val="nil"/>
              <w:bottom w:val="single" w:sz="4" w:space="0" w:color="00B050"/>
              <w:right w:val="single" w:sz="4" w:space="0" w:color="00B050"/>
            </w:tcBorders>
            <w:shd w:val="clear" w:color="auto" w:fill="auto"/>
            <w:noWrap/>
            <w:vAlign w:val="center"/>
            <w:hideMark/>
          </w:tcPr>
          <w:p w14:paraId="08A9E512"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163</w:t>
            </w:r>
          </w:p>
        </w:tc>
        <w:tc>
          <w:tcPr>
            <w:tcW w:w="1842" w:type="dxa"/>
            <w:tcBorders>
              <w:top w:val="nil"/>
              <w:left w:val="nil"/>
              <w:bottom w:val="single" w:sz="4" w:space="0" w:color="00B050"/>
              <w:right w:val="single" w:sz="4" w:space="0" w:color="00B050"/>
            </w:tcBorders>
            <w:shd w:val="clear" w:color="auto" w:fill="auto"/>
            <w:noWrap/>
            <w:vAlign w:val="center"/>
            <w:hideMark/>
          </w:tcPr>
          <w:p w14:paraId="78C5AAA5"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7.9%</w:t>
            </w:r>
          </w:p>
        </w:tc>
        <w:tc>
          <w:tcPr>
            <w:tcW w:w="2835" w:type="dxa"/>
            <w:tcBorders>
              <w:top w:val="nil"/>
              <w:left w:val="nil"/>
              <w:bottom w:val="single" w:sz="4" w:space="0" w:color="00B050"/>
              <w:right w:val="single" w:sz="4" w:space="0" w:color="00B050"/>
            </w:tcBorders>
            <w:shd w:val="clear" w:color="auto" w:fill="auto"/>
            <w:noWrap/>
            <w:vAlign w:val="center"/>
            <w:hideMark/>
          </w:tcPr>
          <w:p w14:paraId="5230643E" w14:textId="77777777" w:rsidR="00003903" w:rsidRPr="002F1FA9" w:rsidRDefault="00003903" w:rsidP="00003903">
            <w:pPr>
              <w:jc w:val="right"/>
              <w:rPr>
                <w:rFonts w:cs="Arial"/>
                <w:sz w:val="24"/>
                <w:szCs w:val="24"/>
              </w:rPr>
            </w:pPr>
            <w:r w:rsidRPr="002F1FA9">
              <w:rPr>
                <w:rFonts w:ascii="Calibri" w:hAnsi="Calibri" w:cs="Calibri"/>
                <w:sz w:val="24"/>
                <w:szCs w:val="24"/>
              </w:rPr>
              <w:t>4.9%</w:t>
            </w:r>
          </w:p>
        </w:tc>
      </w:tr>
      <w:tr w:rsidR="00003903" w:rsidRPr="00580BD2" w14:paraId="33CAC697" w14:textId="77777777" w:rsidTr="00003903">
        <w:trPr>
          <w:trHeight w:hRule="exact" w:val="340"/>
        </w:trPr>
        <w:tc>
          <w:tcPr>
            <w:tcW w:w="1887" w:type="dxa"/>
            <w:tcBorders>
              <w:top w:val="nil"/>
              <w:left w:val="single" w:sz="4" w:space="0" w:color="00B050"/>
              <w:bottom w:val="single" w:sz="4" w:space="0" w:color="00B050"/>
              <w:right w:val="single" w:sz="4" w:space="0" w:color="00B050"/>
            </w:tcBorders>
            <w:shd w:val="clear" w:color="auto" w:fill="auto"/>
            <w:noWrap/>
            <w:vAlign w:val="bottom"/>
            <w:hideMark/>
          </w:tcPr>
          <w:p w14:paraId="186A63CE" w14:textId="77777777" w:rsidR="00003903" w:rsidRPr="00580BD2" w:rsidRDefault="00003903" w:rsidP="00003903">
            <w:pPr>
              <w:jc w:val="right"/>
              <w:rPr>
                <w:rFonts w:cs="Arial"/>
                <w:sz w:val="24"/>
                <w:szCs w:val="24"/>
              </w:rPr>
            </w:pPr>
            <w:r w:rsidRPr="00580BD2">
              <w:rPr>
                <w:rFonts w:cs="Arial"/>
                <w:sz w:val="24"/>
                <w:szCs w:val="24"/>
              </w:rPr>
              <w:t>1 to 4</w:t>
            </w:r>
          </w:p>
        </w:tc>
        <w:tc>
          <w:tcPr>
            <w:tcW w:w="1843" w:type="dxa"/>
            <w:tcBorders>
              <w:top w:val="nil"/>
              <w:left w:val="nil"/>
              <w:bottom w:val="single" w:sz="4" w:space="0" w:color="00B050"/>
              <w:right w:val="single" w:sz="4" w:space="0" w:color="00B050"/>
            </w:tcBorders>
            <w:shd w:val="clear" w:color="auto" w:fill="auto"/>
            <w:noWrap/>
            <w:vAlign w:val="center"/>
            <w:hideMark/>
          </w:tcPr>
          <w:p w14:paraId="44839FA4"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436</w:t>
            </w:r>
          </w:p>
        </w:tc>
        <w:tc>
          <w:tcPr>
            <w:tcW w:w="1842" w:type="dxa"/>
            <w:tcBorders>
              <w:top w:val="nil"/>
              <w:left w:val="nil"/>
              <w:bottom w:val="single" w:sz="4" w:space="0" w:color="00B050"/>
              <w:right w:val="single" w:sz="4" w:space="0" w:color="00B050"/>
            </w:tcBorders>
            <w:shd w:val="clear" w:color="auto" w:fill="auto"/>
            <w:noWrap/>
            <w:vAlign w:val="center"/>
            <w:hideMark/>
          </w:tcPr>
          <w:p w14:paraId="08902D33"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21.2%</w:t>
            </w:r>
          </w:p>
        </w:tc>
        <w:tc>
          <w:tcPr>
            <w:tcW w:w="2835" w:type="dxa"/>
            <w:tcBorders>
              <w:top w:val="nil"/>
              <w:left w:val="nil"/>
              <w:bottom w:val="single" w:sz="4" w:space="0" w:color="00B050"/>
              <w:right w:val="single" w:sz="4" w:space="0" w:color="00B050"/>
            </w:tcBorders>
            <w:shd w:val="clear" w:color="auto" w:fill="auto"/>
            <w:noWrap/>
            <w:vAlign w:val="center"/>
            <w:hideMark/>
          </w:tcPr>
          <w:p w14:paraId="1E22B01B" w14:textId="77777777" w:rsidR="00003903" w:rsidRPr="002F1FA9" w:rsidRDefault="00003903" w:rsidP="00003903">
            <w:pPr>
              <w:jc w:val="right"/>
              <w:rPr>
                <w:rFonts w:cs="Arial"/>
                <w:sz w:val="24"/>
                <w:szCs w:val="24"/>
              </w:rPr>
            </w:pPr>
            <w:r w:rsidRPr="002F1FA9">
              <w:rPr>
                <w:rFonts w:ascii="Calibri" w:hAnsi="Calibri" w:cs="Calibri"/>
                <w:sz w:val="24"/>
                <w:szCs w:val="24"/>
              </w:rPr>
              <w:t>16.9%</w:t>
            </w:r>
          </w:p>
        </w:tc>
      </w:tr>
      <w:tr w:rsidR="00003903" w:rsidRPr="00580BD2" w14:paraId="49931F7D" w14:textId="77777777" w:rsidTr="00003903">
        <w:trPr>
          <w:trHeight w:hRule="exact" w:val="340"/>
        </w:trPr>
        <w:tc>
          <w:tcPr>
            <w:tcW w:w="1887" w:type="dxa"/>
            <w:tcBorders>
              <w:top w:val="nil"/>
              <w:left w:val="single" w:sz="4" w:space="0" w:color="00B050"/>
              <w:bottom w:val="single" w:sz="4" w:space="0" w:color="00B050"/>
              <w:right w:val="single" w:sz="4" w:space="0" w:color="00B050"/>
            </w:tcBorders>
            <w:shd w:val="clear" w:color="auto" w:fill="auto"/>
            <w:noWrap/>
            <w:vAlign w:val="bottom"/>
            <w:hideMark/>
          </w:tcPr>
          <w:p w14:paraId="05314CFA" w14:textId="77777777" w:rsidR="00003903" w:rsidRPr="00580BD2" w:rsidRDefault="00003903" w:rsidP="00003903">
            <w:pPr>
              <w:jc w:val="right"/>
              <w:rPr>
                <w:rFonts w:cs="Arial"/>
                <w:sz w:val="24"/>
                <w:szCs w:val="24"/>
              </w:rPr>
            </w:pPr>
            <w:r w:rsidRPr="00580BD2">
              <w:rPr>
                <w:rFonts w:cs="Arial"/>
                <w:sz w:val="24"/>
                <w:szCs w:val="24"/>
              </w:rPr>
              <w:t>5 to 9</w:t>
            </w:r>
          </w:p>
        </w:tc>
        <w:tc>
          <w:tcPr>
            <w:tcW w:w="1843" w:type="dxa"/>
            <w:tcBorders>
              <w:top w:val="nil"/>
              <w:left w:val="nil"/>
              <w:bottom w:val="single" w:sz="4" w:space="0" w:color="00B050"/>
              <w:right w:val="single" w:sz="4" w:space="0" w:color="00B050"/>
            </w:tcBorders>
            <w:shd w:val="clear" w:color="auto" w:fill="auto"/>
            <w:noWrap/>
            <w:vAlign w:val="center"/>
            <w:hideMark/>
          </w:tcPr>
          <w:p w14:paraId="4F62B630"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586</w:t>
            </w:r>
          </w:p>
        </w:tc>
        <w:tc>
          <w:tcPr>
            <w:tcW w:w="1842" w:type="dxa"/>
            <w:tcBorders>
              <w:top w:val="nil"/>
              <w:left w:val="nil"/>
              <w:bottom w:val="single" w:sz="4" w:space="0" w:color="00B050"/>
              <w:right w:val="single" w:sz="4" w:space="0" w:color="00B050"/>
            </w:tcBorders>
            <w:shd w:val="clear" w:color="auto" w:fill="auto"/>
            <w:noWrap/>
            <w:vAlign w:val="center"/>
            <w:hideMark/>
          </w:tcPr>
          <w:p w14:paraId="18F41F17"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28.</w:t>
            </w:r>
            <w:r>
              <w:rPr>
                <w:rFonts w:ascii="Calibri" w:hAnsi="Calibri" w:cs="Calibri"/>
                <w:color w:val="000000"/>
                <w:sz w:val="24"/>
                <w:szCs w:val="24"/>
              </w:rPr>
              <w:t>5</w:t>
            </w:r>
            <w:r w:rsidRPr="002F1FA9">
              <w:rPr>
                <w:rFonts w:ascii="Calibri" w:hAnsi="Calibri" w:cs="Calibri"/>
                <w:color w:val="000000"/>
                <w:sz w:val="24"/>
                <w:szCs w:val="24"/>
              </w:rPr>
              <w:t>%</w:t>
            </w:r>
          </w:p>
        </w:tc>
        <w:tc>
          <w:tcPr>
            <w:tcW w:w="2835" w:type="dxa"/>
            <w:tcBorders>
              <w:top w:val="nil"/>
              <w:left w:val="nil"/>
              <w:bottom w:val="single" w:sz="4" w:space="0" w:color="00B050"/>
              <w:right w:val="single" w:sz="4" w:space="0" w:color="00B050"/>
            </w:tcBorders>
            <w:shd w:val="clear" w:color="auto" w:fill="auto"/>
            <w:noWrap/>
            <w:vAlign w:val="center"/>
            <w:hideMark/>
          </w:tcPr>
          <w:p w14:paraId="68596C0D" w14:textId="77777777" w:rsidR="00003903" w:rsidRPr="002F1FA9" w:rsidRDefault="00003903" w:rsidP="00003903">
            <w:pPr>
              <w:jc w:val="right"/>
              <w:rPr>
                <w:rFonts w:cs="Arial"/>
                <w:sz w:val="24"/>
                <w:szCs w:val="24"/>
              </w:rPr>
            </w:pPr>
            <w:r w:rsidRPr="002F1FA9">
              <w:rPr>
                <w:rFonts w:ascii="Calibri" w:hAnsi="Calibri" w:cs="Calibri"/>
                <w:sz w:val="24"/>
                <w:szCs w:val="24"/>
              </w:rPr>
              <w:t>23.3%</w:t>
            </w:r>
          </w:p>
        </w:tc>
      </w:tr>
      <w:tr w:rsidR="00003903" w:rsidRPr="00580BD2" w14:paraId="60E09BB0" w14:textId="77777777" w:rsidTr="00003903">
        <w:trPr>
          <w:trHeight w:hRule="exact" w:val="340"/>
        </w:trPr>
        <w:tc>
          <w:tcPr>
            <w:tcW w:w="1887" w:type="dxa"/>
            <w:tcBorders>
              <w:top w:val="nil"/>
              <w:left w:val="single" w:sz="4" w:space="0" w:color="00B050"/>
              <w:bottom w:val="single" w:sz="4" w:space="0" w:color="00B050"/>
              <w:right w:val="single" w:sz="4" w:space="0" w:color="00B050"/>
            </w:tcBorders>
            <w:shd w:val="clear" w:color="auto" w:fill="auto"/>
            <w:noWrap/>
            <w:vAlign w:val="bottom"/>
            <w:hideMark/>
          </w:tcPr>
          <w:p w14:paraId="2C2BE66A" w14:textId="77777777" w:rsidR="00003903" w:rsidRPr="00580BD2" w:rsidRDefault="00003903" w:rsidP="00003903">
            <w:pPr>
              <w:jc w:val="right"/>
              <w:rPr>
                <w:rFonts w:cs="Arial"/>
                <w:sz w:val="24"/>
                <w:szCs w:val="24"/>
              </w:rPr>
            </w:pPr>
            <w:r w:rsidRPr="00580BD2">
              <w:rPr>
                <w:rFonts w:cs="Arial"/>
                <w:sz w:val="24"/>
                <w:szCs w:val="24"/>
              </w:rPr>
              <w:t>10 to 15</w:t>
            </w:r>
          </w:p>
        </w:tc>
        <w:tc>
          <w:tcPr>
            <w:tcW w:w="1843" w:type="dxa"/>
            <w:tcBorders>
              <w:top w:val="nil"/>
              <w:left w:val="nil"/>
              <w:bottom w:val="single" w:sz="4" w:space="0" w:color="00B050"/>
              <w:right w:val="single" w:sz="4" w:space="0" w:color="00B050"/>
            </w:tcBorders>
            <w:shd w:val="clear" w:color="auto" w:fill="auto"/>
            <w:noWrap/>
            <w:vAlign w:val="center"/>
          </w:tcPr>
          <w:p w14:paraId="2B33287B"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680</w:t>
            </w:r>
          </w:p>
        </w:tc>
        <w:tc>
          <w:tcPr>
            <w:tcW w:w="1842" w:type="dxa"/>
            <w:tcBorders>
              <w:top w:val="nil"/>
              <w:left w:val="nil"/>
              <w:bottom w:val="single" w:sz="4" w:space="0" w:color="00B050"/>
              <w:right w:val="single" w:sz="4" w:space="0" w:color="00B050"/>
            </w:tcBorders>
            <w:shd w:val="clear" w:color="auto" w:fill="auto"/>
            <w:noWrap/>
            <w:vAlign w:val="center"/>
            <w:hideMark/>
          </w:tcPr>
          <w:p w14:paraId="64A4C475"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33.</w:t>
            </w:r>
            <w:r>
              <w:rPr>
                <w:rFonts w:ascii="Calibri" w:hAnsi="Calibri" w:cs="Calibri"/>
                <w:color w:val="000000"/>
                <w:sz w:val="24"/>
                <w:szCs w:val="24"/>
              </w:rPr>
              <w:t>1</w:t>
            </w:r>
            <w:r w:rsidRPr="002F1FA9">
              <w:rPr>
                <w:rFonts w:ascii="Calibri" w:hAnsi="Calibri" w:cs="Calibri"/>
                <w:color w:val="000000"/>
                <w:sz w:val="24"/>
                <w:szCs w:val="24"/>
              </w:rPr>
              <w:t>%</w:t>
            </w:r>
          </w:p>
        </w:tc>
        <w:tc>
          <w:tcPr>
            <w:tcW w:w="2835" w:type="dxa"/>
            <w:tcBorders>
              <w:top w:val="nil"/>
              <w:left w:val="nil"/>
              <w:bottom w:val="single" w:sz="4" w:space="0" w:color="00B050"/>
              <w:right w:val="single" w:sz="4" w:space="0" w:color="00B050"/>
            </w:tcBorders>
            <w:shd w:val="clear" w:color="auto" w:fill="auto"/>
            <w:noWrap/>
            <w:vAlign w:val="center"/>
            <w:hideMark/>
          </w:tcPr>
          <w:p w14:paraId="2011AB2D" w14:textId="77777777" w:rsidR="00003903" w:rsidRPr="002F1FA9" w:rsidRDefault="00003903" w:rsidP="00003903">
            <w:pPr>
              <w:jc w:val="right"/>
              <w:rPr>
                <w:rFonts w:cs="Arial"/>
                <w:sz w:val="24"/>
                <w:szCs w:val="24"/>
              </w:rPr>
            </w:pPr>
            <w:r w:rsidRPr="002F1FA9">
              <w:rPr>
                <w:rFonts w:ascii="Calibri" w:hAnsi="Calibri" w:cs="Calibri"/>
                <w:sz w:val="24"/>
                <w:szCs w:val="24"/>
              </w:rPr>
              <w:t>31.9%</w:t>
            </w:r>
          </w:p>
        </w:tc>
      </w:tr>
      <w:tr w:rsidR="00003903" w:rsidRPr="00580BD2" w14:paraId="7BF2E1C6" w14:textId="77777777" w:rsidTr="00003903">
        <w:trPr>
          <w:trHeight w:hRule="exact" w:val="340"/>
        </w:trPr>
        <w:tc>
          <w:tcPr>
            <w:tcW w:w="1887" w:type="dxa"/>
            <w:tcBorders>
              <w:top w:val="nil"/>
              <w:left w:val="single" w:sz="4" w:space="0" w:color="00B050"/>
              <w:bottom w:val="single" w:sz="4" w:space="0" w:color="00B050"/>
              <w:right w:val="single" w:sz="4" w:space="0" w:color="00B050"/>
            </w:tcBorders>
            <w:shd w:val="clear" w:color="auto" w:fill="auto"/>
            <w:noWrap/>
            <w:vAlign w:val="bottom"/>
            <w:hideMark/>
          </w:tcPr>
          <w:p w14:paraId="23C18D93" w14:textId="77777777" w:rsidR="00003903" w:rsidRPr="00580BD2" w:rsidRDefault="00003903" w:rsidP="00003903">
            <w:pPr>
              <w:jc w:val="right"/>
              <w:rPr>
                <w:rFonts w:cs="Arial"/>
                <w:sz w:val="24"/>
                <w:szCs w:val="24"/>
              </w:rPr>
            </w:pPr>
            <w:r w:rsidRPr="00580BD2">
              <w:rPr>
                <w:rFonts w:cs="Arial"/>
                <w:sz w:val="24"/>
                <w:szCs w:val="24"/>
              </w:rPr>
              <w:t>16 +</w:t>
            </w:r>
          </w:p>
        </w:tc>
        <w:tc>
          <w:tcPr>
            <w:tcW w:w="1843" w:type="dxa"/>
            <w:tcBorders>
              <w:top w:val="nil"/>
              <w:left w:val="nil"/>
              <w:bottom w:val="single" w:sz="4" w:space="0" w:color="00B050"/>
              <w:right w:val="single" w:sz="4" w:space="0" w:color="00B050"/>
            </w:tcBorders>
            <w:shd w:val="clear" w:color="auto" w:fill="auto"/>
            <w:noWrap/>
            <w:vAlign w:val="center"/>
          </w:tcPr>
          <w:p w14:paraId="536103B0"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192</w:t>
            </w:r>
          </w:p>
        </w:tc>
        <w:tc>
          <w:tcPr>
            <w:tcW w:w="1842" w:type="dxa"/>
            <w:tcBorders>
              <w:top w:val="nil"/>
              <w:left w:val="nil"/>
              <w:bottom w:val="single" w:sz="4" w:space="0" w:color="00B050"/>
              <w:right w:val="single" w:sz="4" w:space="0" w:color="00B050"/>
            </w:tcBorders>
            <w:shd w:val="clear" w:color="auto" w:fill="auto"/>
            <w:noWrap/>
            <w:vAlign w:val="center"/>
            <w:hideMark/>
          </w:tcPr>
          <w:p w14:paraId="4BD7551F" w14:textId="77777777" w:rsidR="00003903" w:rsidRPr="002F1FA9" w:rsidRDefault="00003903" w:rsidP="00003903">
            <w:pPr>
              <w:jc w:val="right"/>
              <w:rPr>
                <w:rFonts w:cs="Arial"/>
                <w:sz w:val="24"/>
                <w:szCs w:val="24"/>
              </w:rPr>
            </w:pPr>
            <w:r w:rsidRPr="002F1FA9">
              <w:rPr>
                <w:rFonts w:ascii="Calibri" w:hAnsi="Calibri" w:cs="Calibri"/>
                <w:color w:val="000000"/>
                <w:sz w:val="24"/>
                <w:szCs w:val="24"/>
              </w:rPr>
              <w:t>9.3%</w:t>
            </w:r>
          </w:p>
        </w:tc>
        <w:tc>
          <w:tcPr>
            <w:tcW w:w="2835" w:type="dxa"/>
            <w:tcBorders>
              <w:top w:val="nil"/>
              <w:left w:val="nil"/>
              <w:bottom w:val="single" w:sz="4" w:space="0" w:color="00B050"/>
              <w:right w:val="single" w:sz="4" w:space="0" w:color="00B050"/>
            </w:tcBorders>
            <w:shd w:val="clear" w:color="auto" w:fill="auto"/>
            <w:noWrap/>
            <w:vAlign w:val="center"/>
            <w:hideMark/>
          </w:tcPr>
          <w:p w14:paraId="1EE96C77" w14:textId="77777777" w:rsidR="00003903" w:rsidRPr="002F1FA9" w:rsidRDefault="00003903" w:rsidP="00003903">
            <w:pPr>
              <w:jc w:val="right"/>
              <w:rPr>
                <w:rFonts w:cs="Arial"/>
                <w:sz w:val="24"/>
                <w:szCs w:val="24"/>
              </w:rPr>
            </w:pPr>
            <w:r w:rsidRPr="002F1FA9">
              <w:rPr>
                <w:rFonts w:ascii="Calibri" w:hAnsi="Calibri" w:cs="Calibri"/>
                <w:sz w:val="24"/>
                <w:szCs w:val="24"/>
              </w:rPr>
              <w:t>21.2%</w:t>
            </w:r>
          </w:p>
        </w:tc>
      </w:tr>
      <w:tr w:rsidR="00003903" w:rsidRPr="00580BD2" w14:paraId="4F2D04AD" w14:textId="77777777" w:rsidTr="00003903">
        <w:trPr>
          <w:trHeight w:hRule="exact" w:val="340"/>
        </w:trPr>
        <w:tc>
          <w:tcPr>
            <w:tcW w:w="1887" w:type="dxa"/>
            <w:tcBorders>
              <w:top w:val="nil"/>
              <w:left w:val="single" w:sz="4" w:space="0" w:color="00B050"/>
              <w:bottom w:val="single" w:sz="4" w:space="0" w:color="00B050"/>
              <w:right w:val="single" w:sz="4" w:space="0" w:color="00B050"/>
            </w:tcBorders>
            <w:shd w:val="clear" w:color="auto" w:fill="auto"/>
            <w:noWrap/>
            <w:vAlign w:val="bottom"/>
            <w:hideMark/>
          </w:tcPr>
          <w:p w14:paraId="2FCC7340" w14:textId="77777777" w:rsidR="00003903" w:rsidRPr="00580BD2" w:rsidRDefault="00003903" w:rsidP="00003903">
            <w:pPr>
              <w:jc w:val="right"/>
              <w:rPr>
                <w:rFonts w:cs="Arial"/>
                <w:bCs/>
                <w:sz w:val="24"/>
                <w:szCs w:val="24"/>
              </w:rPr>
            </w:pPr>
            <w:r w:rsidRPr="00580BD2">
              <w:rPr>
                <w:rFonts w:cs="Arial"/>
                <w:bCs/>
                <w:sz w:val="24"/>
                <w:szCs w:val="24"/>
              </w:rPr>
              <w:t>Total</w:t>
            </w:r>
          </w:p>
        </w:tc>
        <w:tc>
          <w:tcPr>
            <w:tcW w:w="1843" w:type="dxa"/>
            <w:tcBorders>
              <w:top w:val="nil"/>
              <w:left w:val="nil"/>
              <w:bottom w:val="single" w:sz="4" w:space="0" w:color="00B050"/>
              <w:right w:val="single" w:sz="4" w:space="0" w:color="00B050"/>
            </w:tcBorders>
            <w:shd w:val="clear" w:color="auto" w:fill="auto"/>
            <w:noWrap/>
            <w:vAlign w:val="center"/>
          </w:tcPr>
          <w:p w14:paraId="516E1DB7" w14:textId="77777777" w:rsidR="00003903" w:rsidRPr="002F1FA9" w:rsidRDefault="00003903" w:rsidP="00003903">
            <w:pPr>
              <w:jc w:val="right"/>
              <w:rPr>
                <w:rFonts w:cs="Arial"/>
                <w:bCs/>
                <w:sz w:val="24"/>
                <w:szCs w:val="24"/>
              </w:rPr>
            </w:pPr>
            <w:r w:rsidRPr="002F1FA9">
              <w:rPr>
                <w:rFonts w:ascii="Calibri" w:hAnsi="Calibri" w:cs="Calibri"/>
                <w:color w:val="000000"/>
                <w:sz w:val="24"/>
                <w:szCs w:val="24"/>
              </w:rPr>
              <w:t>2057</w:t>
            </w:r>
          </w:p>
        </w:tc>
        <w:tc>
          <w:tcPr>
            <w:tcW w:w="1842" w:type="dxa"/>
            <w:tcBorders>
              <w:top w:val="nil"/>
              <w:left w:val="nil"/>
              <w:bottom w:val="single" w:sz="4" w:space="0" w:color="00B050"/>
              <w:right w:val="single" w:sz="4" w:space="0" w:color="00B050"/>
            </w:tcBorders>
            <w:shd w:val="clear" w:color="auto" w:fill="auto"/>
            <w:noWrap/>
            <w:vAlign w:val="center"/>
            <w:hideMark/>
          </w:tcPr>
          <w:p w14:paraId="0876C98E" w14:textId="77777777" w:rsidR="00003903" w:rsidRPr="002F1FA9" w:rsidRDefault="00003903" w:rsidP="00003903">
            <w:pPr>
              <w:jc w:val="right"/>
              <w:rPr>
                <w:rFonts w:cs="Arial"/>
                <w:bCs/>
                <w:sz w:val="24"/>
                <w:szCs w:val="24"/>
              </w:rPr>
            </w:pPr>
            <w:r w:rsidRPr="002F1FA9">
              <w:rPr>
                <w:rFonts w:ascii="Calibri" w:hAnsi="Calibri" w:cs="Calibri"/>
                <w:color w:val="000000"/>
                <w:sz w:val="24"/>
                <w:szCs w:val="24"/>
              </w:rPr>
              <w:t>100.0%</w:t>
            </w:r>
          </w:p>
        </w:tc>
        <w:tc>
          <w:tcPr>
            <w:tcW w:w="2835" w:type="dxa"/>
            <w:tcBorders>
              <w:top w:val="nil"/>
              <w:left w:val="nil"/>
              <w:bottom w:val="single" w:sz="4" w:space="0" w:color="00B050"/>
              <w:right w:val="single" w:sz="4" w:space="0" w:color="00B050"/>
            </w:tcBorders>
            <w:shd w:val="clear" w:color="auto" w:fill="auto"/>
            <w:noWrap/>
            <w:vAlign w:val="center"/>
            <w:hideMark/>
          </w:tcPr>
          <w:p w14:paraId="501EF86B" w14:textId="77777777" w:rsidR="00003903" w:rsidRPr="002F1FA9" w:rsidRDefault="00003903" w:rsidP="00003903">
            <w:pPr>
              <w:jc w:val="right"/>
              <w:rPr>
                <w:rFonts w:cs="Arial"/>
                <w:bCs/>
                <w:sz w:val="24"/>
                <w:szCs w:val="24"/>
              </w:rPr>
            </w:pPr>
            <w:r w:rsidRPr="002F1FA9">
              <w:rPr>
                <w:rFonts w:ascii="Calibri" w:hAnsi="Calibri" w:cs="Calibri"/>
                <w:sz w:val="24"/>
                <w:szCs w:val="24"/>
              </w:rPr>
              <w:t>100%</w:t>
            </w:r>
          </w:p>
        </w:tc>
      </w:tr>
    </w:tbl>
    <w:p w14:paraId="1B9CC73C" w14:textId="3535F438" w:rsidR="00003903" w:rsidRPr="002E55EE" w:rsidRDefault="00003903" w:rsidP="00003903">
      <w:pPr>
        <w:rPr>
          <w:rFonts w:cs="Arial"/>
        </w:rPr>
      </w:pPr>
      <w:r w:rsidRPr="002F1FA9">
        <w:rPr>
          <w:rFonts w:cs="Arial"/>
        </w:rPr>
        <w:t>* England averages produced by DfE are likely to include CP &amp; CiC</w:t>
      </w:r>
      <w:r w:rsidR="002E55EE">
        <w:rPr>
          <w:rFonts w:cs="Arial"/>
        </w:rPr>
        <w:br/>
      </w:r>
      <w:r w:rsidRPr="00580BD2">
        <w:rPr>
          <w:rFonts w:cs="Arial"/>
          <w:sz w:val="24"/>
          <w:szCs w:val="24"/>
        </w:rPr>
        <w:t>Source: Sandwell Children’s Trust</w:t>
      </w:r>
    </w:p>
    <w:p w14:paraId="6893FC1F" w14:textId="77777777" w:rsidR="00003903" w:rsidRPr="00580BD2" w:rsidRDefault="00003903" w:rsidP="00003903">
      <w:pPr>
        <w:rPr>
          <w:rFonts w:cs="Arial"/>
          <w:sz w:val="24"/>
          <w:szCs w:val="24"/>
        </w:rPr>
      </w:pPr>
      <w:r w:rsidRPr="00580BD2">
        <w:rPr>
          <w:rFonts w:cs="Arial"/>
          <w:sz w:val="24"/>
          <w:szCs w:val="24"/>
        </w:rPr>
        <w:t xml:space="preserve">Of the </w:t>
      </w:r>
      <w:r>
        <w:rPr>
          <w:rFonts w:cs="Arial"/>
          <w:sz w:val="24"/>
          <w:szCs w:val="24"/>
        </w:rPr>
        <w:t>2057</w:t>
      </w:r>
      <w:r w:rsidRPr="00580BD2">
        <w:rPr>
          <w:rFonts w:cs="Arial"/>
          <w:sz w:val="24"/>
          <w:szCs w:val="24"/>
        </w:rPr>
        <w:t xml:space="preserve"> </w:t>
      </w:r>
      <w:r>
        <w:rPr>
          <w:rFonts w:cs="Arial"/>
          <w:sz w:val="24"/>
          <w:szCs w:val="24"/>
        </w:rPr>
        <w:t>children with a child in need plan or undergoing an assessment</w:t>
      </w:r>
      <w:r w:rsidRPr="00580BD2">
        <w:rPr>
          <w:rFonts w:cs="Arial"/>
          <w:sz w:val="24"/>
          <w:szCs w:val="24"/>
        </w:rPr>
        <w:t xml:space="preserve"> as at </w:t>
      </w:r>
      <w:r>
        <w:rPr>
          <w:rFonts w:cs="Arial"/>
          <w:sz w:val="24"/>
          <w:szCs w:val="24"/>
        </w:rPr>
        <w:t>31</w:t>
      </w:r>
      <w:r w:rsidRPr="00A21666">
        <w:rPr>
          <w:rFonts w:cs="Arial"/>
          <w:sz w:val="24"/>
          <w:szCs w:val="24"/>
          <w:vertAlign w:val="superscript"/>
        </w:rPr>
        <w:t>st</w:t>
      </w:r>
      <w:r>
        <w:rPr>
          <w:rFonts w:cs="Arial"/>
          <w:sz w:val="24"/>
          <w:szCs w:val="24"/>
        </w:rPr>
        <w:t xml:space="preserve"> March</w:t>
      </w:r>
      <w:r w:rsidRPr="00580BD2">
        <w:rPr>
          <w:rFonts w:cs="Arial"/>
          <w:sz w:val="24"/>
          <w:szCs w:val="24"/>
        </w:rPr>
        <w:t xml:space="preserve"> 2019, 2</w:t>
      </w:r>
      <w:r>
        <w:rPr>
          <w:rFonts w:cs="Arial"/>
          <w:sz w:val="24"/>
          <w:szCs w:val="24"/>
        </w:rPr>
        <w:t>9</w:t>
      </w:r>
      <w:r w:rsidRPr="00580BD2">
        <w:rPr>
          <w:rFonts w:cs="Arial"/>
          <w:sz w:val="24"/>
          <w:szCs w:val="24"/>
        </w:rPr>
        <w:t>.</w:t>
      </w:r>
      <w:r>
        <w:rPr>
          <w:rFonts w:cs="Arial"/>
          <w:sz w:val="24"/>
          <w:szCs w:val="24"/>
        </w:rPr>
        <w:t>1</w:t>
      </w:r>
      <w:r w:rsidRPr="00580BD2">
        <w:rPr>
          <w:rFonts w:cs="Arial"/>
          <w:sz w:val="24"/>
          <w:szCs w:val="24"/>
        </w:rPr>
        <w:t xml:space="preserve">% were under the age of five years. In both the under one and one to four age groups the percentage in Sandwell is above that nationally. </w:t>
      </w:r>
    </w:p>
    <w:p w14:paraId="103C1B5D" w14:textId="77777777" w:rsidR="00003903" w:rsidRDefault="00003903" w:rsidP="00003903">
      <w:pPr>
        <w:rPr>
          <w:rFonts w:cs="Arial"/>
          <w:b/>
          <w:sz w:val="24"/>
          <w:szCs w:val="24"/>
        </w:rPr>
      </w:pPr>
    </w:p>
    <w:p w14:paraId="6CF27A0D" w14:textId="346623DB" w:rsidR="00003903" w:rsidRPr="00C84F6A" w:rsidRDefault="00003903" w:rsidP="00003903">
      <w:pPr>
        <w:rPr>
          <w:rFonts w:cs="Arial"/>
          <w:b/>
          <w:sz w:val="24"/>
          <w:szCs w:val="24"/>
        </w:rPr>
      </w:pPr>
      <w:r w:rsidRPr="007F213F">
        <w:rPr>
          <w:rFonts w:cs="Arial"/>
          <w:b/>
          <w:sz w:val="24"/>
          <w:szCs w:val="24"/>
        </w:rPr>
        <w:t>Table 3.</w:t>
      </w:r>
      <w:r>
        <w:rPr>
          <w:rFonts w:cs="Arial"/>
          <w:b/>
          <w:sz w:val="24"/>
          <w:szCs w:val="24"/>
        </w:rPr>
        <w:t>3</w:t>
      </w:r>
      <w:r w:rsidRPr="007F213F">
        <w:rPr>
          <w:rFonts w:cs="Arial"/>
          <w:b/>
          <w:sz w:val="24"/>
          <w:szCs w:val="24"/>
        </w:rPr>
        <w:t xml:space="preserve">: </w:t>
      </w:r>
      <w:r>
        <w:rPr>
          <w:rFonts w:cs="Arial"/>
          <w:b/>
          <w:sz w:val="24"/>
          <w:szCs w:val="24"/>
        </w:rPr>
        <w:t>Need Code for Open CIN Episodes as at 31</w:t>
      </w:r>
      <w:r w:rsidRPr="00C84F6A">
        <w:rPr>
          <w:rFonts w:cs="Arial"/>
          <w:b/>
          <w:sz w:val="24"/>
          <w:szCs w:val="24"/>
          <w:vertAlign w:val="superscript"/>
        </w:rPr>
        <w:t>st</w:t>
      </w:r>
      <w:r>
        <w:rPr>
          <w:rFonts w:cs="Arial"/>
          <w:b/>
          <w:sz w:val="24"/>
          <w:szCs w:val="24"/>
        </w:rPr>
        <w:t xml:space="preserve"> March 2019</w:t>
      </w:r>
      <w:r w:rsidRPr="008C2C13">
        <w:rPr>
          <w:rFonts w:cs="Arial"/>
          <w:b/>
        </w:rPr>
        <w:t xml:space="preserve"> </w:t>
      </w:r>
      <w:r w:rsidRPr="008A1A40">
        <w:rPr>
          <w:rFonts w:cs="Arial"/>
          <w:b/>
          <w:sz w:val="24"/>
          <w:szCs w:val="24"/>
        </w:rPr>
        <w:t>by Age</w:t>
      </w:r>
      <w:r>
        <w:rPr>
          <w:rFonts w:cs="Arial"/>
          <w:b/>
        </w:rPr>
        <w:t xml:space="preserve"> </w:t>
      </w:r>
      <w:r w:rsidRPr="00C84F6A">
        <w:rPr>
          <w:rFonts w:cs="Arial"/>
          <w:b/>
        </w:rPr>
        <w:t>(</w:t>
      </w:r>
      <w:r w:rsidRPr="00C84F6A">
        <w:rPr>
          <w:b/>
          <w:color w:val="000000"/>
          <w:lang w:eastAsia="en-GB"/>
        </w:rPr>
        <w:t>excludes care leavers, LAC and CP AND U</w:t>
      </w:r>
      <w:r>
        <w:rPr>
          <w:b/>
          <w:color w:val="000000"/>
          <w:lang w:eastAsia="en-GB"/>
        </w:rPr>
        <w:t>nborns</w:t>
      </w:r>
      <w:r w:rsidRPr="00C84F6A">
        <w:rPr>
          <w:b/>
          <w:color w:val="000000"/>
          <w:lang w:eastAsia="en-GB"/>
        </w:rPr>
        <w:t>. But DOES include those undergoing a S</w:t>
      </w:r>
      <w:r w:rsidR="00924B4B">
        <w:rPr>
          <w:b/>
          <w:color w:val="000000"/>
          <w:lang w:eastAsia="en-GB"/>
        </w:rPr>
        <w:t xml:space="preserve">ingle </w:t>
      </w:r>
      <w:r w:rsidRPr="00C84F6A">
        <w:rPr>
          <w:b/>
          <w:color w:val="000000"/>
          <w:lang w:eastAsia="en-GB"/>
        </w:rPr>
        <w:t>A</w:t>
      </w:r>
      <w:r w:rsidR="00924B4B">
        <w:rPr>
          <w:b/>
          <w:color w:val="000000"/>
          <w:lang w:eastAsia="en-GB"/>
        </w:rPr>
        <w:t>ssessment</w:t>
      </w:r>
      <w:r w:rsidRPr="00C84F6A">
        <w:rPr>
          <w:rFonts w:cs="Arial"/>
          <w:b/>
        </w:rPr>
        <w:t>)</w:t>
      </w:r>
    </w:p>
    <w:tbl>
      <w:tblPr>
        <w:tblW w:w="949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539"/>
        <w:gridCol w:w="1088"/>
        <w:gridCol w:w="1038"/>
        <w:gridCol w:w="993"/>
        <w:gridCol w:w="992"/>
        <w:gridCol w:w="992"/>
        <w:gridCol w:w="851"/>
      </w:tblGrid>
      <w:tr w:rsidR="00003903" w:rsidRPr="007349F8" w14:paraId="6266BFB5" w14:textId="77777777" w:rsidTr="00003903">
        <w:trPr>
          <w:trHeight w:val="290"/>
        </w:trPr>
        <w:tc>
          <w:tcPr>
            <w:tcW w:w="3539" w:type="dxa"/>
            <w:vMerge w:val="restart"/>
            <w:shd w:val="clear" w:color="auto" w:fill="D9D9D9" w:themeFill="background1" w:themeFillShade="D9"/>
            <w:noWrap/>
            <w:vAlign w:val="center"/>
            <w:hideMark/>
          </w:tcPr>
          <w:p w14:paraId="2D413890" w14:textId="77777777" w:rsidR="00003903" w:rsidRPr="007349F8" w:rsidRDefault="00003903" w:rsidP="00003903">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Need Code</w:t>
            </w:r>
          </w:p>
        </w:tc>
        <w:tc>
          <w:tcPr>
            <w:tcW w:w="4111" w:type="dxa"/>
            <w:gridSpan w:val="4"/>
            <w:tcBorders>
              <w:bottom w:val="single" w:sz="4" w:space="0" w:color="70AD47" w:themeColor="accent6"/>
            </w:tcBorders>
            <w:shd w:val="clear" w:color="auto" w:fill="D9D9D9" w:themeFill="background1" w:themeFillShade="D9"/>
            <w:vAlign w:val="center"/>
            <w:hideMark/>
          </w:tcPr>
          <w:p w14:paraId="3A23BF42" w14:textId="77777777" w:rsidR="00003903" w:rsidRPr="007349F8" w:rsidRDefault="00003903" w:rsidP="00003903">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AGE GROUP</w:t>
            </w:r>
          </w:p>
        </w:tc>
        <w:tc>
          <w:tcPr>
            <w:tcW w:w="992" w:type="dxa"/>
            <w:vMerge w:val="restart"/>
            <w:shd w:val="clear" w:color="auto" w:fill="D9D9D9" w:themeFill="background1" w:themeFillShade="D9"/>
            <w:noWrap/>
            <w:vAlign w:val="center"/>
            <w:hideMark/>
          </w:tcPr>
          <w:p w14:paraId="086D23BE" w14:textId="77777777" w:rsidR="00003903" w:rsidRPr="007349F8" w:rsidRDefault="00003903" w:rsidP="00003903">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TOTAL</w:t>
            </w:r>
          </w:p>
        </w:tc>
        <w:tc>
          <w:tcPr>
            <w:tcW w:w="851" w:type="dxa"/>
            <w:vMerge w:val="restart"/>
            <w:shd w:val="clear" w:color="auto" w:fill="D9D9D9" w:themeFill="background1" w:themeFillShade="D9"/>
            <w:noWrap/>
            <w:vAlign w:val="center"/>
            <w:hideMark/>
          </w:tcPr>
          <w:p w14:paraId="5E00DE8D" w14:textId="77777777" w:rsidR="00003903" w:rsidRPr="007349F8" w:rsidRDefault="00003903" w:rsidP="00003903">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w:t>
            </w:r>
          </w:p>
        </w:tc>
      </w:tr>
      <w:tr w:rsidR="00003903" w:rsidRPr="007349F8" w14:paraId="3C2CC1FC" w14:textId="77777777" w:rsidTr="00003903">
        <w:trPr>
          <w:trHeight w:val="290"/>
        </w:trPr>
        <w:tc>
          <w:tcPr>
            <w:tcW w:w="3539" w:type="dxa"/>
            <w:vMerge/>
            <w:vAlign w:val="center"/>
            <w:hideMark/>
          </w:tcPr>
          <w:p w14:paraId="1AD55F98" w14:textId="77777777" w:rsidR="00003903" w:rsidRPr="007349F8" w:rsidRDefault="00003903" w:rsidP="00003903">
            <w:pPr>
              <w:spacing w:after="0" w:line="240" w:lineRule="auto"/>
              <w:rPr>
                <w:rFonts w:ascii="Calibri" w:eastAsia="Times New Roman" w:hAnsi="Calibri" w:cs="Calibri"/>
                <w:bCs/>
                <w:color w:val="000000"/>
                <w:sz w:val="24"/>
                <w:szCs w:val="24"/>
                <w:lang w:eastAsia="en-GB"/>
              </w:rPr>
            </w:pPr>
          </w:p>
        </w:tc>
        <w:tc>
          <w:tcPr>
            <w:tcW w:w="2126" w:type="dxa"/>
            <w:gridSpan w:val="2"/>
            <w:shd w:val="clear" w:color="auto" w:fill="D9D9D9" w:themeFill="background1" w:themeFillShade="D9"/>
            <w:noWrap/>
            <w:vAlign w:val="center"/>
            <w:hideMark/>
          </w:tcPr>
          <w:p w14:paraId="06C0FFB9" w14:textId="77777777" w:rsidR="00003903" w:rsidRPr="007349F8" w:rsidRDefault="00003903" w:rsidP="00003903">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 xml:space="preserve">0-4 </w:t>
            </w:r>
            <w:r>
              <w:rPr>
                <w:rFonts w:ascii="Calibri" w:eastAsia="Times New Roman" w:hAnsi="Calibri" w:cs="Calibri"/>
                <w:bCs/>
                <w:color w:val="000000"/>
                <w:sz w:val="24"/>
                <w:szCs w:val="24"/>
                <w:lang w:eastAsia="en-GB"/>
              </w:rPr>
              <w:t>year</w:t>
            </w:r>
            <w:r w:rsidRPr="007349F8">
              <w:rPr>
                <w:rFonts w:ascii="Calibri" w:eastAsia="Times New Roman" w:hAnsi="Calibri" w:cs="Calibri"/>
                <w:bCs/>
                <w:color w:val="000000"/>
                <w:sz w:val="24"/>
                <w:szCs w:val="24"/>
                <w:lang w:eastAsia="en-GB"/>
              </w:rPr>
              <w:t xml:space="preserve"> olds</w:t>
            </w:r>
          </w:p>
        </w:tc>
        <w:tc>
          <w:tcPr>
            <w:tcW w:w="1985" w:type="dxa"/>
            <w:gridSpan w:val="2"/>
            <w:shd w:val="clear" w:color="auto" w:fill="D9D9D9" w:themeFill="background1" w:themeFillShade="D9"/>
            <w:noWrap/>
            <w:vAlign w:val="center"/>
            <w:hideMark/>
          </w:tcPr>
          <w:p w14:paraId="351F03D8" w14:textId="77777777" w:rsidR="00003903" w:rsidRPr="007349F8" w:rsidRDefault="00003903" w:rsidP="00003903">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5-17 y</w:t>
            </w:r>
            <w:r>
              <w:rPr>
                <w:rFonts w:ascii="Calibri" w:eastAsia="Times New Roman" w:hAnsi="Calibri" w:cs="Calibri"/>
                <w:bCs/>
                <w:color w:val="000000"/>
                <w:sz w:val="24"/>
                <w:szCs w:val="24"/>
                <w:lang w:eastAsia="en-GB"/>
              </w:rPr>
              <w:t>ea</w:t>
            </w:r>
            <w:r w:rsidRPr="007349F8">
              <w:rPr>
                <w:rFonts w:ascii="Calibri" w:eastAsia="Times New Roman" w:hAnsi="Calibri" w:cs="Calibri"/>
                <w:bCs/>
                <w:color w:val="000000"/>
                <w:sz w:val="24"/>
                <w:szCs w:val="24"/>
                <w:lang w:eastAsia="en-GB"/>
              </w:rPr>
              <w:t>r olds</w:t>
            </w:r>
          </w:p>
        </w:tc>
        <w:tc>
          <w:tcPr>
            <w:tcW w:w="992" w:type="dxa"/>
            <w:vMerge/>
            <w:vAlign w:val="center"/>
            <w:hideMark/>
          </w:tcPr>
          <w:p w14:paraId="01E352AF" w14:textId="77777777" w:rsidR="00003903" w:rsidRPr="007349F8" w:rsidRDefault="00003903" w:rsidP="00003903">
            <w:pPr>
              <w:spacing w:after="0" w:line="240" w:lineRule="auto"/>
              <w:rPr>
                <w:rFonts w:ascii="Calibri" w:eastAsia="Times New Roman" w:hAnsi="Calibri" w:cs="Calibri"/>
                <w:bCs/>
                <w:color w:val="000000"/>
                <w:sz w:val="24"/>
                <w:szCs w:val="24"/>
                <w:lang w:eastAsia="en-GB"/>
              </w:rPr>
            </w:pPr>
          </w:p>
        </w:tc>
        <w:tc>
          <w:tcPr>
            <w:tcW w:w="851" w:type="dxa"/>
            <w:vMerge/>
            <w:vAlign w:val="center"/>
            <w:hideMark/>
          </w:tcPr>
          <w:p w14:paraId="08E7B58E" w14:textId="77777777" w:rsidR="00003903" w:rsidRPr="007349F8" w:rsidRDefault="00003903" w:rsidP="00003903">
            <w:pPr>
              <w:spacing w:after="0" w:line="240" w:lineRule="auto"/>
              <w:rPr>
                <w:rFonts w:ascii="Calibri" w:eastAsia="Times New Roman" w:hAnsi="Calibri" w:cs="Calibri"/>
                <w:bCs/>
                <w:color w:val="000000"/>
                <w:sz w:val="24"/>
                <w:szCs w:val="24"/>
                <w:lang w:eastAsia="en-GB"/>
              </w:rPr>
            </w:pPr>
          </w:p>
        </w:tc>
      </w:tr>
      <w:tr w:rsidR="00003903" w:rsidRPr="007349F8" w14:paraId="7AA4666F" w14:textId="77777777" w:rsidTr="00003903">
        <w:trPr>
          <w:trHeight w:val="290"/>
        </w:trPr>
        <w:tc>
          <w:tcPr>
            <w:tcW w:w="3539" w:type="dxa"/>
            <w:vMerge/>
            <w:vAlign w:val="center"/>
            <w:hideMark/>
          </w:tcPr>
          <w:p w14:paraId="1C1AB044" w14:textId="77777777" w:rsidR="00003903" w:rsidRPr="007349F8" w:rsidRDefault="00003903" w:rsidP="00003903">
            <w:pPr>
              <w:spacing w:after="0" w:line="240" w:lineRule="auto"/>
              <w:rPr>
                <w:rFonts w:ascii="Calibri" w:eastAsia="Times New Roman" w:hAnsi="Calibri" w:cs="Calibri"/>
                <w:bCs/>
                <w:color w:val="000000"/>
                <w:sz w:val="24"/>
                <w:szCs w:val="24"/>
                <w:lang w:eastAsia="en-GB"/>
              </w:rPr>
            </w:pPr>
          </w:p>
        </w:tc>
        <w:tc>
          <w:tcPr>
            <w:tcW w:w="1088" w:type="dxa"/>
            <w:shd w:val="clear" w:color="auto" w:fill="D9D9D9" w:themeFill="background1" w:themeFillShade="D9"/>
            <w:noWrap/>
            <w:vAlign w:val="center"/>
            <w:hideMark/>
          </w:tcPr>
          <w:p w14:paraId="46E8CF15" w14:textId="77777777" w:rsidR="00003903" w:rsidRPr="007349F8" w:rsidRDefault="00003903" w:rsidP="00003903">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No.</w:t>
            </w:r>
          </w:p>
        </w:tc>
        <w:tc>
          <w:tcPr>
            <w:tcW w:w="1038" w:type="dxa"/>
            <w:shd w:val="clear" w:color="auto" w:fill="D9D9D9" w:themeFill="background1" w:themeFillShade="D9"/>
            <w:noWrap/>
            <w:vAlign w:val="center"/>
            <w:hideMark/>
          </w:tcPr>
          <w:p w14:paraId="6C5D432D" w14:textId="77777777" w:rsidR="00003903" w:rsidRPr="007349F8" w:rsidRDefault="00003903" w:rsidP="00003903">
            <w:pPr>
              <w:spacing w:after="0" w:line="240" w:lineRule="auto"/>
              <w:jc w:val="center"/>
              <w:rPr>
                <w:rFonts w:ascii="Calibri" w:eastAsia="Times New Roman" w:hAnsi="Calibri" w:cs="Calibri"/>
                <w:color w:val="000000"/>
                <w:sz w:val="24"/>
                <w:szCs w:val="24"/>
                <w:lang w:eastAsia="en-GB"/>
              </w:rPr>
            </w:pPr>
            <w:r w:rsidRPr="007349F8">
              <w:rPr>
                <w:rFonts w:ascii="Calibri" w:eastAsia="Times New Roman" w:hAnsi="Calibri" w:cs="Calibri"/>
                <w:color w:val="000000"/>
                <w:sz w:val="24"/>
                <w:szCs w:val="24"/>
                <w:lang w:eastAsia="en-GB"/>
              </w:rPr>
              <w:t>%</w:t>
            </w:r>
          </w:p>
        </w:tc>
        <w:tc>
          <w:tcPr>
            <w:tcW w:w="993" w:type="dxa"/>
            <w:shd w:val="clear" w:color="auto" w:fill="D9D9D9" w:themeFill="background1" w:themeFillShade="D9"/>
            <w:noWrap/>
            <w:vAlign w:val="center"/>
            <w:hideMark/>
          </w:tcPr>
          <w:p w14:paraId="50E6FA6D" w14:textId="77777777" w:rsidR="00003903" w:rsidRPr="007349F8" w:rsidRDefault="00003903" w:rsidP="00003903">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No.</w:t>
            </w:r>
          </w:p>
        </w:tc>
        <w:tc>
          <w:tcPr>
            <w:tcW w:w="992" w:type="dxa"/>
            <w:shd w:val="clear" w:color="auto" w:fill="D9D9D9" w:themeFill="background1" w:themeFillShade="D9"/>
            <w:noWrap/>
            <w:vAlign w:val="center"/>
            <w:hideMark/>
          </w:tcPr>
          <w:p w14:paraId="482202C9" w14:textId="77777777" w:rsidR="00003903" w:rsidRPr="007349F8" w:rsidRDefault="00003903" w:rsidP="00003903">
            <w:pPr>
              <w:spacing w:after="0" w:line="240" w:lineRule="auto"/>
              <w:jc w:val="center"/>
              <w:rPr>
                <w:rFonts w:ascii="Calibri" w:eastAsia="Times New Roman" w:hAnsi="Calibri" w:cs="Calibri"/>
                <w:color w:val="000000"/>
                <w:sz w:val="24"/>
                <w:szCs w:val="24"/>
                <w:lang w:eastAsia="en-GB"/>
              </w:rPr>
            </w:pPr>
            <w:r w:rsidRPr="007349F8">
              <w:rPr>
                <w:rFonts w:ascii="Calibri" w:eastAsia="Times New Roman" w:hAnsi="Calibri" w:cs="Calibri"/>
                <w:color w:val="000000"/>
                <w:sz w:val="24"/>
                <w:szCs w:val="24"/>
                <w:lang w:eastAsia="en-GB"/>
              </w:rPr>
              <w:t>%</w:t>
            </w:r>
          </w:p>
        </w:tc>
        <w:tc>
          <w:tcPr>
            <w:tcW w:w="992" w:type="dxa"/>
            <w:vMerge/>
            <w:vAlign w:val="center"/>
            <w:hideMark/>
          </w:tcPr>
          <w:p w14:paraId="5BD1B508" w14:textId="77777777" w:rsidR="00003903" w:rsidRPr="007349F8" w:rsidRDefault="00003903" w:rsidP="00003903">
            <w:pPr>
              <w:spacing w:after="0" w:line="240" w:lineRule="auto"/>
              <w:rPr>
                <w:rFonts w:ascii="Calibri" w:eastAsia="Times New Roman" w:hAnsi="Calibri" w:cs="Calibri"/>
                <w:b/>
                <w:bCs/>
                <w:color w:val="000000"/>
                <w:sz w:val="22"/>
                <w:szCs w:val="22"/>
                <w:lang w:eastAsia="en-GB"/>
              </w:rPr>
            </w:pPr>
          </w:p>
        </w:tc>
        <w:tc>
          <w:tcPr>
            <w:tcW w:w="851" w:type="dxa"/>
            <w:vMerge/>
            <w:vAlign w:val="center"/>
            <w:hideMark/>
          </w:tcPr>
          <w:p w14:paraId="171ACFD9" w14:textId="77777777" w:rsidR="00003903" w:rsidRPr="007349F8" w:rsidRDefault="00003903" w:rsidP="00003903">
            <w:pPr>
              <w:spacing w:after="0" w:line="240" w:lineRule="auto"/>
              <w:rPr>
                <w:rFonts w:ascii="Calibri" w:eastAsia="Times New Roman" w:hAnsi="Calibri" w:cs="Calibri"/>
                <w:b/>
                <w:bCs/>
                <w:color w:val="000000"/>
                <w:sz w:val="22"/>
                <w:szCs w:val="22"/>
                <w:lang w:eastAsia="en-GB"/>
              </w:rPr>
            </w:pPr>
          </w:p>
        </w:tc>
      </w:tr>
      <w:tr w:rsidR="00003903" w:rsidRPr="007349F8" w14:paraId="783EA09A" w14:textId="77777777" w:rsidTr="00003903">
        <w:trPr>
          <w:trHeight w:val="290"/>
        </w:trPr>
        <w:tc>
          <w:tcPr>
            <w:tcW w:w="3539" w:type="dxa"/>
            <w:shd w:val="clear" w:color="auto" w:fill="auto"/>
            <w:noWrap/>
            <w:vAlign w:val="center"/>
            <w:hideMark/>
          </w:tcPr>
          <w:p w14:paraId="0FFAAFC8" w14:textId="77777777" w:rsidR="00003903" w:rsidRPr="007349F8" w:rsidRDefault="00003903" w:rsidP="00003903">
            <w:pPr>
              <w:spacing w:after="0" w:line="240" w:lineRule="auto"/>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N0 - Not Stated</w:t>
            </w:r>
          </w:p>
        </w:tc>
        <w:tc>
          <w:tcPr>
            <w:tcW w:w="1088" w:type="dxa"/>
            <w:shd w:val="clear" w:color="auto" w:fill="auto"/>
            <w:noWrap/>
            <w:vAlign w:val="center"/>
            <w:hideMark/>
          </w:tcPr>
          <w:p w14:paraId="1F363E16"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15</w:t>
            </w:r>
          </w:p>
        </w:tc>
        <w:tc>
          <w:tcPr>
            <w:tcW w:w="1038" w:type="dxa"/>
            <w:shd w:val="clear" w:color="auto" w:fill="auto"/>
            <w:vAlign w:val="center"/>
            <w:hideMark/>
          </w:tcPr>
          <w:p w14:paraId="7EF88ED5"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3%</w:t>
            </w:r>
          </w:p>
        </w:tc>
        <w:tc>
          <w:tcPr>
            <w:tcW w:w="993" w:type="dxa"/>
            <w:shd w:val="clear" w:color="auto" w:fill="auto"/>
            <w:noWrap/>
            <w:vAlign w:val="center"/>
            <w:hideMark/>
          </w:tcPr>
          <w:p w14:paraId="208C6E1A"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190</w:t>
            </w:r>
          </w:p>
        </w:tc>
        <w:tc>
          <w:tcPr>
            <w:tcW w:w="992" w:type="dxa"/>
            <w:shd w:val="clear" w:color="auto" w:fill="auto"/>
            <w:vAlign w:val="center"/>
            <w:hideMark/>
          </w:tcPr>
          <w:p w14:paraId="4668A480"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13%</w:t>
            </w:r>
          </w:p>
        </w:tc>
        <w:tc>
          <w:tcPr>
            <w:tcW w:w="992" w:type="dxa"/>
            <w:shd w:val="clear" w:color="auto" w:fill="auto"/>
            <w:vAlign w:val="center"/>
            <w:hideMark/>
          </w:tcPr>
          <w:p w14:paraId="377BA029"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205</w:t>
            </w:r>
          </w:p>
        </w:tc>
        <w:tc>
          <w:tcPr>
            <w:tcW w:w="851" w:type="dxa"/>
            <w:shd w:val="clear" w:color="auto" w:fill="auto"/>
            <w:vAlign w:val="center"/>
            <w:hideMark/>
          </w:tcPr>
          <w:p w14:paraId="1CBC20AF"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10%</w:t>
            </w:r>
          </w:p>
        </w:tc>
      </w:tr>
      <w:tr w:rsidR="00003903" w:rsidRPr="007349F8" w14:paraId="42B47AFD" w14:textId="77777777" w:rsidTr="00003903">
        <w:trPr>
          <w:trHeight w:val="290"/>
        </w:trPr>
        <w:tc>
          <w:tcPr>
            <w:tcW w:w="3539" w:type="dxa"/>
            <w:shd w:val="clear" w:color="auto" w:fill="auto"/>
            <w:noWrap/>
            <w:vAlign w:val="center"/>
            <w:hideMark/>
          </w:tcPr>
          <w:p w14:paraId="15A43BA5" w14:textId="77777777" w:rsidR="00003903" w:rsidRPr="007349F8" w:rsidRDefault="00003903" w:rsidP="00003903">
            <w:pPr>
              <w:spacing w:after="0" w:line="240" w:lineRule="auto"/>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N1 - Abuse or Neglect</w:t>
            </w:r>
          </w:p>
        </w:tc>
        <w:tc>
          <w:tcPr>
            <w:tcW w:w="1088" w:type="dxa"/>
            <w:shd w:val="clear" w:color="auto" w:fill="auto"/>
            <w:noWrap/>
            <w:vAlign w:val="center"/>
            <w:hideMark/>
          </w:tcPr>
          <w:p w14:paraId="5890DA9E"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508</w:t>
            </w:r>
          </w:p>
        </w:tc>
        <w:tc>
          <w:tcPr>
            <w:tcW w:w="1038" w:type="dxa"/>
            <w:shd w:val="clear" w:color="auto" w:fill="auto"/>
            <w:vAlign w:val="center"/>
            <w:hideMark/>
          </w:tcPr>
          <w:p w14:paraId="481FC9A6"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90%</w:t>
            </w:r>
          </w:p>
        </w:tc>
        <w:tc>
          <w:tcPr>
            <w:tcW w:w="993" w:type="dxa"/>
            <w:shd w:val="clear" w:color="auto" w:fill="auto"/>
            <w:noWrap/>
            <w:vAlign w:val="center"/>
            <w:hideMark/>
          </w:tcPr>
          <w:p w14:paraId="0687AE83"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1084</w:t>
            </w:r>
          </w:p>
        </w:tc>
        <w:tc>
          <w:tcPr>
            <w:tcW w:w="992" w:type="dxa"/>
            <w:shd w:val="clear" w:color="auto" w:fill="auto"/>
            <w:vAlign w:val="center"/>
            <w:hideMark/>
          </w:tcPr>
          <w:p w14:paraId="1E3E9CD3"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74%</w:t>
            </w:r>
          </w:p>
        </w:tc>
        <w:tc>
          <w:tcPr>
            <w:tcW w:w="992" w:type="dxa"/>
            <w:shd w:val="clear" w:color="auto" w:fill="auto"/>
            <w:vAlign w:val="center"/>
            <w:hideMark/>
          </w:tcPr>
          <w:p w14:paraId="63131E32"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1592</w:t>
            </w:r>
          </w:p>
        </w:tc>
        <w:tc>
          <w:tcPr>
            <w:tcW w:w="851" w:type="dxa"/>
            <w:shd w:val="clear" w:color="auto" w:fill="auto"/>
            <w:vAlign w:val="center"/>
            <w:hideMark/>
          </w:tcPr>
          <w:p w14:paraId="6F7A524E"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79%</w:t>
            </w:r>
          </w:p>
        </w:tc>
      </w:tr>
      <w:tr w:rsidR="00003903" w:rsidRPr="007349F8" w14:paraId="562754EC" w14:textId="77777777" w:rsidTr="00003903">
        <w:trPr>
          <w:trHeight w:val="290"/>
        </w:trPr>
        <w:tc>
          <w:tcPr>
            <w:tcW w:w="3539" w:type="dxa"/>
            <w:shd w:val="clear" w:color="auto" w:fill="auto"/>
            <w:noWrap/>
            <w:vAlign w:val="center"/>
            <w:hideMark/>
          </w:tcPr>
          <w:p w14:paraId="20DF111B" w14:textId="77777777" w:rsidR="00003903" w:rsidRPr="007349F8" w:rsidRDefault="00003903" w:rsidP="00003903">
            <w:pPr>
              <w:spacing w:after="0" w:line="240" w:lineRule="auto"/>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N2 - Disability</w:t>
            </w:r>
          </w:p>
        </w:tc>
        <w:tc>
          <w:tcPr>
            <w:tcW w:w="1088" w:type="dxa"/>
            <w:shd w:val="clear" w:color="auto" w:fill="auto"/>
            <w:noWrap/>
            <w:vAlign w:val="center"/>
            <w:hideMark/>
          </w:tcPr>
          <w:p w14:paraId="28A00071"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8</w:t>
            </w:r>
          </w:p>
        </w:tc>
        <w:tc>
          <w:tcPr>
            <w:tcW w:w="1038" w:type="dxa"/>
            <w:shd w:val="clear" w:color="auto" w:fill="auto"/>
            <w:vAlign w:val="center"/>
            <w:hideMark/>
          </w:tcPr>
          <w:p w14:paraId="1D3DBB68"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w:t>
            </w:r>
          </w:p>
        </w:tc>
        <w:tc>
          <w:tcPr>
            <w:tcW w:w="993" w:type="dxa"/>
            <w:shd w:val="clear" w:color="auto" w:fill="auto"/>
            <w:noWrap/>
            <w:vAlign w:val="center"/>
            <w:hideMark/>
          </w:tcPr>
          <w:p w14:paraId="644B3BC7"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69</w:t>
            </w:r>
          </w:p>
        </w:tc>
        <w:tc>
          <w:tcPr>
            <w:tcW w:w="992" w:type="dxa"/>
            <w:shd w:val="clear" w:color="auto" w:fill="auto"/>
            <w:vAlign w:val="center"/>
            <w:hideMark/>
          </w:tcPr>
          <w:p w14:paraId="35412792"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5%</w:t>
            </w:r>
          </w:p>
        </w:tc>
        <w:tc>
          <w:tcPr>
            <w:tcW w:w="992" w:type="dxa"/>
            <w:shd w:val="clear" w:color="auto" w:fill="auto"/>
            <w:vAlign w:val="center"/>
            <w:hideMark/>
          </w:tcPr>
          <w:p w14:paraId="1F97E38F"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77</w:t>
            </w:r>
          </w:p>
        </w:tc>
        <w:tc>
          <w:tcPr>
            <w:tcW w:w="851" w:type="dxa"/>
            <w:shd w:val="clear" w:color="auto" w:fill="auto"/>
            <w:vAlign w:val="center"/>
            <w:hideMark/>
          </w:tcPr>
          <w:p w14:paraId="21019E6C"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4%</w:t>
            </w:r>
          </w:p>
        </w:tc>
      </w:tr>
      <w:tr w:rsidR="00003903" w:rsidRPr="007349F8" w14:paraId="79B30B14" w14:textId="77777777" w:rsidTr="00003903">
        <w:trPr>
          <w:trHeight w:val="290"/>
        </w:trPr>
        <w:tc>
          <w:tcPr>
            <w:tcW w:w="3539" w:type="dxa"/>
            <w:shd w:val="clear" w:color="auto" w:fill="auto"/>
            <w:noWrap/>
            <w:vAlign w:val="center"/>
            <w:hideMark/>
          </w:tcPr>
          <w:p w14:paraId="3DF1CAB6" w14:textId="77777777" w:rsidR="00003903" w:rsidRPr="007349F8" w:rsidRDefault="00003903" w:rsidP="00003903">
            <w:pPr>
              <w:spacing w:after="0" w:line="240" w:lineRule="auto"/>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N3 - Parental Illness or Disability</w:t>
            </w:r>
          </w:p>
        </w:tc>
        <w:tc>
          <w:tcPr>
            <w:tcW w:w="1088" w:type="dxa"/>
            <w:shd w:val="clear" w:color="auto" w:fill="auto"/>
            <w:noWrap/>
            <w:vAlign w:val="center"/>
            <w:hideMark/>
          </w:tcPr>
          <w:p w14:paraId="7FFA6DF2"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w:t>
            </w:r>
          </w:p>
        </w:tc>
        <w:tc>
          <w:tcPr>
            <w:tcW w:w="1038" w:type="dxa"/>
            <w:shd w:val="clear" w:color="auto" w:fill="auto"/>
            <w:vAlign w:val="center"/>
            <w:hideMark/>
          </w:tcPr>
          <w:p w14:paraId="4558E835"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0%</w:t>
            </w:r>
          </w:p>
        </w:tc>
        <w:tc>
          <w:tcPr>
            <w:tcW w:w="993" w:type="dxa"/>
            <w:shd w:val="clear" w:color="auto" w:fill="auto"/>
            <w:noWrap/>
            <w:vAlign w:val="center"/>
            <w:hideMark/>
          </w:tcPr>
          <w:p w14:paraId="7ED10680"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w:t>
            </w:r>
          </w:p>
        </w:tc>
        <w:tc>
          <w:tcPr>
            <w:tcW w:w="992" w:type="dxa"/>
            <w:shd w:val="clear" w:color="auto" w:fill="auto"/>
            <w:vAlign w:val="center"/>
            <w:hideMark/>
          </w:tcPr>
          <w:p w14:paraId="33F3671E"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0%</w:t>
            </w:r>
          </w:p>
        </w:tc>
        <w:tc>
          <w:tcPr>
            <w:tcW w:w="992" w:type="dxa"/>
            <w:shd w:val="clear" w:color="auto" w:fill="auto"/>
            <w:vAlign w:val="center"/>
            <w:hideMark/>
          </w:tcPr>
          <w:p w14:paraId="1BC7C53D"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2</w:t>
            </w:r>
          </w:p>
        </w:tc>
        <w:tc>
          <w:tcPr>
            <w:tcW w:w="851" w:type="dxa"/>
            <w:shd w:val="clear" w:color="auto" w:fill="auto"/>
            <w:vAlign w:val="center"/>
            <w:hideMark/>
          </w:tcPr>
          <w:p w14:paraId="59E678BF"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0%</w:t>
            </w:r>
          </w:p>
        </w:tc>
      </w:tr>
      <w:tr w:rsidR="00003903" w:rsidRPr="007349F8" w14:paraId="46E63EAE" w14:textId="77777777" w:rsidTr="00003903">
        <w:trPr>
          <w:trHeight w:val="290"/>
        </w:trPr>
        <w:tc>
          <w:tcPr>
            <w:tcW w:w="3539" w:type="dxa"/>
            <w:shd w:val="clear" w:color="auto" w:fill="auto"/>
            <w:noWrap/>
            <w:vAlign w:val="center"/>
            <w:hideMark/>
          </w:tcPr>
          <w:p w14:paraId="64BCFA58" w14:textId="77777777" w:rsidR="00003903" w:rsidRPr="007349F8" w:rsidRDefault="00003903" w:rsidP="00003903">
            <w:pPr>
              <w:spacing w:after="0" w:line="240" w:lineRule="auto"/>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N4 - Family in Acute Stress</w:t>
            </w:r>
          </w:p>
        </w:tc>
        <w:tc>
          <w:tcPr>
            <w:tcW w:w="1088" w:type="dxa"/>
            <w:shd w:val="clear" w:color="auto" w:fill="auto"/>
            <w:noWrap/>
            <w:vAlign w:val="center"/>
            <w:hideMark/>
          </w:tcPr>
          <w:p w14:paraId="40DCFA61"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4</w:t>
            </w:r>
          </w:p>
        </w:tc>
        <w:tc>
          <w:tcPr>
            <w:tcW w:w="1038" w:type="dxa"/>
            <w:shd w:val="clear" w:color="auto" w:fill="auto"/>
            <w:vAlign w:val="center"/>
            <w:hideMark/>
          </w:tcPr>
          <w:p w14:paraId="787E311A"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w:t>
            </w:r>
          </w:p>
        </w:tc>
        <w:tc>
          <w:tcPr>
            <w:tcW w:w="993" w:type="dxa"/>
            <w:shd w:val="clear" w:color="auto" w:fill="auto"/>
            <w:noWrap/>
            <w:vAlign w:val="center"/>
            <w:hideMark/>
          </w:tcPr>
          <w:p w14:paraId="1C2EB8CB"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19</w:t>
            </w:r>
          </w:p>
        </w:tc>
        <w:tc>
          <w:tcPr>
            <w:tcW w:w="992" w:type="dxa"/>
            <w:shd w:val="clear" w:color="auto" w:fill="auto"/>
            <w:vAlign w:val="center"/>
            <w:hideMark/>
          </w:tcPr>
          <w:p w14:paraId="47741172"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w:t>
            </w:r>
          </w:p>
        </w:tc>
        <w:tc>
          <w:tcPr>
            <w:tcW w:w="992" w:type="dxa"/>
            <w:shd w:val="clear" w:color="auto" w:fill="auto"/>
            <w:vAlign w:val="center"/>
            <w:hideMark/>
          </w:tcPr>
          <w:p w14:paraId="4ACE2A1D"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23</w:t>
            </w:r>
          </w:p>
        </w:tc>
        <w:tc>
          <w:tcPr>
            <w:tcW w:w="851" w:type="dxa"/>
            <w:shd w:val="clear" w:color="auto" w:fill="auto"/>
            <w:vAlign w:val="center"/>
            <w:hideMark/>
          </w:tcPr>
          <w:p w14:paraId="6232835C"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1%</w:t>
            </w:r>
          </w:p>
        </w:tc>
      </w:tr>
      <w:tr w:rsidR="00003903" w:rsidRPr="007349F8" w14:paraId="0022E312" w14:textId="77777777" w:rsidTr="00003903">
        <w:trPr>
          <w:trHeight w:val="290"/>
        </w:trPr>
        <w:tc>
          <w:tcPr>
            <w:tcW w:w="3539" w:type="dxa"/>
            <w:shd w:val="clear" w:color="auto" w:fill="auto"/>
            <w:noWrap/>
            <w:vAlign w:val="center"/>
            <w:hideMark/>
          </w:tcPr>
          <w:p w14:paraId="09FF8663" w14:textId="77777777" w:rsidR="00003903" w:rsidRPr="007349F8" w:rsidRDefault="00003903" w:rsidP="00003903">
            <w:pPr>
              <w:spacing w:after="0" w:line="240" w:lineRule="auto"/>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N5 - Family Dysfunction</w:t>
            </w:r>
          </w:p>
        </w:tc>
        <w:tc>
          <w:tcPr>
            <w:tcW w:w="1088" w:type="dxa"/>
            <w:shd w:val="clear" w:color="auto" w:fill="auto"/>
            <w:noWrap/>
            <w:vAlign w:val="center"/>
            <w:hideMark/>
          </w:tcPr>
          <w:p w14:paraId="2AD32A08"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7</w:t>
            </w:r>
          </w:p>
        </w:tc>
        <w:tc>
          <w:tcPr>
            <w:tcW w:w="1038" w:type="dxa"/>
            <w:shd w:val="clear" w:color="auto" w:fill="auto"/>
            <w:vAlign w:val="center"/>
            <w:hideMark/>
          </w:tcPr>
          <w:p w14:paraId="020032E0"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w:t>
            </w:r>
          </w:p>
        </w:tc>
        <w:tc>
          <w:tcPr>
            <w:tcW w:w="993" w:type="dxa"/>
            <w:shd w:val="clear" w:color="auto" w:fill="auto"/>
            <w:noWrap/>
            <w:vAlign w:val="center"/>
            <w:hideMark/>
          </w:tcPr>
          <w:p w14:paraId="5CAC772B"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53</w:t>
            </w:r>
          </w:p>
        </w:tc>
        <w:tc>
          <w:tcPr>
            <w:tcW w:w="992" w:type="dxa"/>
            <w:shd w:val="clear" w:color="auto" w:fill="auto"/>
            <w:vAlign w:val="center"/>
            <w:hideMark/>
          </w:tcPr>
          <w:p w14:paraId="5F648483"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4%</w:t>
            </w:r>
          </w:p>
        </w:tc>
        <w:tc>
          <w:tcPr>
            <w:tcW w:w="992" w:type="dxa"/>
            <w:shd w:val="clear" w:color="auto" w:fill="auto"/>
            <w:vAlign w:val="center"/>
            <w:hideMark/>
          </w:tcPr>
          <w:p w14:paraId="2E3C88E8"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60</w:t>
            </w:r>
          </w:p>
        </w:tc>
        <w:tc>
          <w:tcPr>
            <w:tcW w:w="851" w:type="dxa"/>
            <w:shd w:val="clear" w:color="auto" w:fill="auto"/>
            <w:vAlign w:val="center"/>
            <w:hideMark/>
          </w:tcPr>
          <w:p w14:paraId="635CF4A9"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3%</w:t>
            </w:r>
          </w:p>
        </w:tc>
      </w:tr>
      <w:tr w:rsidR="00003903" w:rsidRPr="007349F8" w14:paraId="66A87BD1" w14:textId="77777777" w:rsidTr="00003903">
        <w:trPr>
          <w:trHeight w:val="290"/>
        </w:trPr>
        <w:tc>
          <w:tcPr>
            <w:tcW w:w="3539" w:type="dxa"/>
            <w:shd w:val="clear" w:color="auto" w:fill="auto"/>
            <w:noWrap/>
            <w:vAlign w:val="center"/>
            <w:hideMark/>
          </w:tcPr>
          <w:p w14:paraId="556DDDB0" w14:textId="77777777" w:rsidR="00003903" w:rsidRPr="007349F8" w:rsidRDefault="00003903" w:rsidP="00003903">
            <w:pPr>
              <w:spacing w:after="0" w:line="240" w:lineRule="auto"/>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N6 - Socially Unacceptable Behaviour</w:t>
            </w:r>
          </w:p>
        </w:tc>
        <w:tc>
          <w:tcPr>
            <w:tcW w:w="1088" w:type="dxa"/>
            <w:shd w:val="clear" w:color="auto" w:fill="auto"/>
            <w:noWrap/>
            <w:vAlign w:val="center"/>
            <w:hideMark/>
          </w:tcPr>
          <w:p w14:paraId="72DE92F6"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w:t>
            </w:r>
          </w:p>
        </w:tc>
        <w:tc>
          <w:tcPr>
            <w:tcW w:w="1038" w:type="dxa"/>
            <w:shd w:val="clear" w:color="auto" w:fill="auto"/>
            <w:vAlign w:val="center"/>
            <w:hideMark/>
          </w:tcPr>
          <w:p w14:paraId="5FB8D06A"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0%</w:t>
            </w:r>
          </w:p>
        </w:tc>
        <w:tc>
          <w:tcPr>
            <w:tcW w:w="993" w:type="dxa"/>
            <w:shd w:val="clear" w:color="auto" w:fill="auto"/>
            <w:noWrap/>
            <w:vAlign w:val="center"/>
            <w:hideMark/>
          </w:tcPr>
          <w:p w14:paraId="502065D2"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4</w:t>
            </w:r>
          </w:p>
        </w:tc>
        <w:tc>
          <w:tcPr>
            <w:tcW w:w="992" w:type="dxa"/>
            <w:shd w:val="clear" w:color="auto" w:fill="auto"/>
            <w:vAlign w:val="center"/>
            <w:hideMark/>
          </w:tcPr>
          <w:p w14:paraId="05EF1809"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0%</w:t>
            </w:r>
          </w:p>
        </w:tc>
        <w:tc>
          <w:tcPr>
            <w:tcW w:w="992" w:type="dxa"/>
            <w:shd w:val="clear" w:color="auto" w:fill="auto"/>
            <w:vAlign w:val="center"/>
            <w:hideMark/>
          </w:tcPr>
          <w:p w14:paraId="4079D694"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5</w:t>
            </w:r>
          </w:p>
        </w:tc>
        <w:tc>
          <w:tcPr>
            <w:tcW w:w="851" w:type="dxa"/>
            <w:shd w:val="clear" w:color="auto" w:fill="auto"/>
            <w:vAlign w:val="center"/>
            <w:hideMark/>
          </w:tcPr>
          <w:p w14:paraId="1D29C648"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0%</w:t>
            </w:r>
          </w:p>
        </w:tc>
      </w:tr>
      <w:tr w:rsidR="00003903" w:rsidRPr="007349F8" w14:paraId="6EEC0612" w14:textId="77777777" w:rsidTr="00003903">
        <w:trPr>
          <w:trHeight w:val="290"/>
        </w:trPr>
        <w:tc>
          <w:tcPr>
            <w:tcW w:w="3539" w:type="dxa"/>
            <w:shd w:val="clear" w:color="auto" w:fill="auto"/>
            <w:noWrap/>
            <w:vAlign w:val="center"/>
            <w:hideMark/>
          </w:tcPr>
          <w:p w14:paraId="68A2DB96" w14:textId="77777777" w:rsidR="00003903" w:rsidRPr="007349F8" w:rsidRDefault="00003903" w:rsidP="00003903">
            <w:pPr>
              <w:spacing w:after="0" w:line="240" w:lineRule="auto"/>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N7 - Low Income</w:t>
            </w:r>
          </w:p>
        </w:tc>
        <w:tc>
          <w:tcPr>
            <w:tcW w:w="1088" w:type="dxa"/>
            <w:shd w:val="clear" w:color="auto" w:fill="auto"/>
            <w:noWrap/>
            <w:vAlign w:val="center"/>
            <w:hideMark/>
          </w:tcPr>
          <w:p w14:paraId="4ACF0174"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5</w:t>
            </w:r>
          </w:p>
        </w:tc>
        <w:tc>
          <w:tcPr>
            <w:tcW w:w="1038" w:type="dxa"/>
            <w:shd w:val="clear" w:color="auto" w:fill="auto"/>
            <w:vAlign w:val="center"/>
            <w:hideMark/>
          </w:tcPr>
          <w:p w14:paraId="02779191"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w:t>
            </w:r>
          </w:p>
        </w:tc>
        <w:tc>
          <w:tcPr>
            <w:tcW w:w="993" w:type="dxa"/>
            <w:shd w:val="clear" w:color="auto" w:fill="auto"/>
            <w:noWrap/>
            <w:vAlign w:val="center"/>
            <w:hideMark/>
          </w:tcPr>
          <w:p w14:paraId="401813A9"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2</w:t>
            </w:r>
          </w:p>
        </w:tc>
        <w:tc>
          <w:tcPr>
            <w:tcW w:w="992" w:type="dxa"/>
            <w:shd w:val="clear" w:color="auto" w:fill="auto"/>
            <w:vAlign w:val="center"/>
            <w:hideMark/>
          </w:tcPr>
          <w:p w14:paraId="76B705C6"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0%</w:t>
            </w:r>
          </w:p>
        </w:tc>
        <w:tc>
          <w:tcPr>
            <w:tcW w:w="992" w:type="dxa"/>
            <w:shd w:val="clear" w:color="auto" w:fill="auto"/>
            <w:vAlign w:val="center"/>
            <w:hideMark/>
          </w:tcPr>
          <w:p w14:paraId="6665636E"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7</w:t>
            </w:r>
          </w:p>
        </w:tc>
        <w:tc>
          <w:tcPr>
            <w:tcW w:w="851" w:type="dxa"/>
            <w:shd w:val="clear" w:color="auto" w:fill="auto"/>
            <w:vAlign w:val="center"/>
            <w:hideMark/>
          </w:tcPr>
          <w:p w14:paraId="5AA45F62"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0%</w:t>
            </w:r>
          </w:p>
        </w:tc>
      </w:tr>
      <w:tr w:rsidR="00003903" w:rsidRPr="007349F8" w14:paraId="09EF658E" w14:textId="77777777" w:rsidTr="00003903">
        <w:trPr>
          <w:trHeight w:val="290"/>
        </w:trPr>
        <w:tc>
          <w:tcPr>
            <w:tcW w:w="3539" w:type="dxa"/>
            <w:shd w:val="clear" w:color="auto" w:fill="auto"/>
            <w:noWrap/>
            <w:vAlign w:val="center"/>
            <w:hideMark/>
          </w:tcPr>
          <w:p w14:paraId="6FB1C7B6" w14:textId="41AD7ECC" w:rsidR="00003903" w:rsidRPr="007349F8" w:rsidRDefault="00003903" w:rsidP="00003903">
            <w:pPr>
              <w:spacing w:after="0" w:line="240" w:lineRule="auto"/>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 xml:space="preserve">N8 </w:t>
            </w:r>
            <w:r w:rsidR="003857B0">
              <w:rPr>
                <w:rFonts w:ascii="Calibri" w:eastAsia="Times New Roman" w:hAnsi="Calibri" w:cs="Calibri"/>
                <w:color w:val="000000"/>
                <w:sz w:val="22"/>
                <w:szCs w:val="22"/>
                <w:lang w:eastAsia="en-GB"/>
              </w:rPr>
              <w:t xml:space="preserve">- </w:t>
            </w:r>
            <w:r w:rsidRPr="007349F8">
              <w:rPr>
                <w:rFonts w:ascii="Calibri" w:eastAsia="Times New Roman" w:hAnsi="Calibri" w:cs="Calibri"/>
                <w:color w:val="000000"/>
                <w:sz w:val="22"/>
                <w:szCs w:val="22"/>
                <w:lang w:eastAsia="en-GB"/>
              </w:rPr>
              <w:t>Absent Parenting</w:t>
            </w:r>
          </w:p>
        </w:tc>
        <w:tc>
          <w:tcPr>
            <w:tcW w:w="1088" w:type="dxa"/>
            <w:shd w:val="clear" w:color="auto" w:fill="auto"/>
            <w:noWrap/>
            <w:vAlign w:val="center"/>
            <w:hideMark/>
          </w:tcPr>
          <w:p w14:paraId="124795F8"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14</w:t>
            </w:r>
          </w:p>
        </w:tc>
        <w:tc>
          <w:tcPr>
            <w:tcW w:w="1038" w:type="dxa"/>
            <w:shd w:val="clear" w:color="auto" w:fill="auto"/>
            <w:vAlign w:val="center"/>
            <w:hideMark/>
          </w:tcPr>
          <w:p w14:paraId="5F510084"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2%</w:t>
            </w:r>
          </w:p>
        </w:tc>
        <w:tc>
          <w:tcPr>
            <w:tcW w:w="993" w:type="dxa"/>
            <w:shd w:val="clear" w:color="auto" w:fill="auto"/>
            <w:noWrap/>
            <w:vAlign w:val="center"/>
            <w:hideMark/>
          </w:tcPr>
          <w:p w14:paraId="418DB559"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36</w:t>
            </w:r>
          </w:p>
        </w:tc>
        <w:tc>
          <w:tcPr>
            <w:tcW w:w="992" w:type="dxa"/>
            <w:shd w:val="clear" w:color="auto" w:fill="auto"/>
            <w:vAlign w:val="center"/>
            <w:hideMark/>
          </w:tcPr>
          <w:p w14:paraId="7472F8A9"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2%</w:t>
            </w:r>
          </w:p>
        </w:tc>
        <w:tc>
          <w:tcPr>
            <w:tcW w:w="992" w:type="dxa"/>
            <w:shd w:val="clear" w:color="auto" w:fill="auto"/>
            <w:vAlign w:val="center"/>
            <w:hideMark/>
          </w:tcPr>
          <w:p w14:paraId="79BA69B8"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50</w:t>
            </w:r>
          </w:p>
        </w:tc>
        <w:tc>
          <w:tcPr>
            <w:tcW w:w="851" w:type="dxa"/>
            <w:shd w:val="clear" w:color="auto" w:fill="auto"/>
            <w:vAlign w:val="center"/>
            <w:hideMark/>
          </w:tcPr>
          <w:p w14:paraId="7F76C1A2"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2%</w:t>
            </w:r>
          </w:p>
        </w:tc>
      </w:tr>
      <w:tr w:rsidR="00003903" w:rsidRPr="007349F8" w14:paraId="457A8C00" w14:textId="77777777" w:rsidTr="00003903">
        <w:trPr>
          <w:trHeight w:val="290"/>
        </w:trPr>
        <w:tc>
          <w:tcPr>
            <w:tcW w:w="3539" w:type="dxa"/>
            <w:shd w:val="clear" w:color="auto" w:fill="auto"/>
            <w:noWrap/>
            <w:vAlign w:val="center"/>
            <w:hideMark/>
          </w:tcPr>
          <w:p w14:paraId="4017BC3F" w14:textId="77777777" w:rsidR="00003903" w:rsidRPr="007349F8" w:rsidRDefault="00003903" w:rsidP="00003903">
            <w:pPr>
              <w:spacing w:after="0" w:line="240" w:lineRule="auto"/>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Total</w:t>
            </w:r>
          </w:p>
        </w:tc>
        <w:tc>
          <w:tcPr>
            <w:tcW w:w="1088" w:type="dxa"/>
            <w:shd w:val="clear" w:color="auto" w:fill="auto"/>
            <w:noWrap/>
            <w:vAlign w:val="center"/>
            <w:hideMark/>
          </w:tcPr>
          <w:p w14:paraId="699D978C"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563</w:t>
            </w:r>
          </w:p>
        </w:tc>
        <w:tc>
          <w:tcPr>
            <w:tcW w:w="1038" w:type="dxa"/>
            <w:shd w:val="clear" w:color="auto" w:fill="auto"/>
            <w:vAlign w:val="center"/>
            <w:hideMark/>
          </w:tcPr>
          <w:p w14:paraId="5DCBCDD1"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100%</w:t>
            </w:r>
          </w:p>
        </w:tc>
        <w:tc>
          <w:tcPr>
            <w:tcW w:w="993" w:type="dxa"/>
            <w:shd w:val="clear" w:color="auto" w:fill="auto"/>
            <w:noWrap/>
            <w:vAlign w:val="center"/>
            <w:hideMark/>
          </w:tcPr>
          <w:p w14:paraId="6EA3C3B5"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1458</w:t>
            </w:r>
          </w:p>
        </w:tc>
        <w:tc>
          <w:tcPr>
            <w:tcW w:w="992" w:type="dxa"/>
            <w:shd w:val="clear" w:color="auto" w:fill="auto"/>
            <w:vAlign w:val="center"/>
            <w:hideMark/>
          </w:tcPr>
          <w:p w14:paraId="1B97EF77" w14:textId="77777777" w:rsidR="00003903" w:rsidRPr="007349F8" w:rsidRDefault="00003903" w:rsidP="002E55EE">
            <w:pPr>
              <w:spacing w:after="0" w:line="240" w:lineRule="auto"/>
              <w:jc w:val="right"/>
              <w:rPr>
                <w:rFonts w:ascii="Calibri" w:eastAsia="Times New Roman" w:hAnsi="Calibri" w:cs="Calibri"/>
                <w:color w:val="000000"/>
                <w:sz w:val="22"/>
                <w:szCs w:val="22"/>
                <w:lang w:eastAsia="en-GB"/>
              </w:rPr>
            </w:pPr>
            <w:r w:rsidRPr="007349F8">
              <w:rPr>
                <w:rFonts w:ascii="Calibri" w:eastAsia="Times New Roman" w:hAnsi="Calibri" w:cs="Calibri"/>
                <w:color w:val="000000"/>
                <w:sz w:val="22"/>
                <w:szCs w:val="22"/>
                <w:lang w:eastAsia="en-GB"/>
              </w:rPr>
              <w:t>100%</w:t>
            </w:r>
          </w:p>
        </w:tc>
        <w:tc>
          <w:tcPr>
            <w:tcW w:w="992" w:type="dxa"/>
            <w:shd w:val="clear" w:color="auto" w:fill="auto"/>
            <w:vAlign w:val="center"/>
            <w:hideMark/>
          </w:tcPr>
          <w:p w14:paraId="2ECA73AF" w14:textId="77777777" w:rsidR="00003903" w:rsidRPr="007349F8" w:rsidRDefault="00003903" w:rsidP="002E55EE">
            <w:pPr>
              <w:spacing w:after="0" w:line="240" w:lineRule="auto"/>
              <w:jc w:val="right"/>
              <w:rPr>
                <w:rFonts w:ascii="Calibri" w:eastAsia="Times New Roman" w:hAnsi="Calibri" w:cs="Calibri"/>
                <w:b/>
                <w:bCs/>
                <w:color w:val="000000"/>
                <w:sz w:val="22"/>
                <w:szCs w:val="22"/>
                <w:lang w:eastAsia="en-GB"/>
              </w:rPr>
            </w:pPr>
            <w:r w:rsidRPr="007349F8">
              <w:rPr>
                <w:rFonts w:ascii="Calibri" w:eastAsia="Times New Roman" w:hAnsi="Calibri" w:cs="Calibri"/>
                <w:b/>
                <w:bCs/>
                <w:color w:val="000000"/>
                <w:sz w:val="22"/>
                <w:szCs w:val="22"/>
                <w:lang w:eastAsia="en-GB"/>
              </w:rPr>
              <w:t>2021*</w:t>
            </w:r>
          </w:p>
        </w:tc>
        <w:tc>
          <w:tcPr>
            <w:tcW w:w="851" w:type="dxa"/>
            <w:shd w:val="clear" w:color="auto" w:fill="auto"/>
            <w:noWrap/>
            <w:vAlign w:val="center"/>
            <w:hideMark/>
          </w:tcPr>
          <w:p w14:paraId="27C4D70B" w14:textId="77777777" w:rsidR="00003903" w:rsidRPr="007349F8" w:rsidRDefault="00003903" w:rsidP="002E55EE">
            <w:pPr>
              <w:spacing w:after="0" w:line="240" w:lineRule="auto"/>
              <w:jc w:val="right"/>
              <w:rPr>
                <w:rFonts w:ascii="Calibri" w:eastAsia="Times New Roman" w:hAnsi="Calibri" w:cs="Calibri"/>
                <w:bCs/>
                <w:color w:val="000000"/>
                <w:sz w:val="22"/>
                <w:szCs w:val="22"/>
                <w:lang w:eastAsia="en-GB"/>
              </w:rPr>
            </w:pPr>
            <w:r w:rsidRPr="007349F8">
              <w:rPr>
                <w:rFonts w:ascii="Calibri" w:eastAsia="Times New Roman" w:hAnsi="Calibri" w:cs="Calibri"/>
                <w:bCs/>
                <w:color w:val="000000"/>
                <w:sz w:val="22"/>
                <w:szCs w:val="22"/>
                <w:lang w:eastAsia="en-GB"/>
              </w:rPr>
              <w:t>100%</w:t>
            </w:r>
          </w:p>
        </w:tc>
      </w:tr>
    </w:tbl>
    <w:p w14:paraId="0959AF06" w14:textId="77777777" w:rsidR="00003903" w:rsidRDefault="00003903" w:rsidP="00003903">
      <w:pPr>
        <w:rPr>
          <w:color w:val="000000"/>
          <w:lang w:eastAsia="en-GB"/>
        </w:rPr>
      </w:pPr>
      <w:r>
        <w:rPr>
          <w:color w:val="000000"/>
          <w:lang w:eastAsia="en-GB"/>
        </w:rPr>
        <w:t>*Excludes 36 unborns</w:t>
      </w:r>
    </w:p>
    <w:p w14:paraId="509C368C" w14:textId="77777777" w:rsidR="00003903" w:rsidRDefault="00003903" w:rsidP="00003903">
      <w:pPr>
        <w:rPr>
          <w:color w:val="000000"/>
          <w:lang w:eastAsia="en-GB"/>
        </w:rPr>
      </w:pPr>
      <w:r w:rsidRPr="00580BD2">
        <w:rPr>
          <w:rFonts w:cs="Arial"/>
          <w:sz w:val="24"/>
          <w:szCs w:val="24"/>
        </w:rPr>
        <w:t>Source: Sandwell Children’s Trust</w:t>
      </w:r>
    </w:p>
    <w:p w14:paraId="13E569A3" w14:textId="42F33F97" w:rsidR="00003903" w:rsidRDefault="00003903" w:rsidP="00003903"/>
    <w:p w14:paraId="63123E59" w14:textId="504AA66E" w:rsidR="00003903" w:rsidRPr="00C84F6A" w:rsidRDefault="002B74A7" w:rsidP="00003903">
      <w:pPr>
        <w:rPr>
          <w:rFonts w:eastAsiaTheme="minorHAnsi"/>
          <w:sz w:val="24"/>
          <w:szCs w:val="24"/>
        </w:rPr>
      </w:pPr>
      <w:r w:rsidRPr="002B74A7">
        <w:rPr>
          <w:sz w:val="24"/>
          <w:szCs w:val="24"/>
        </w:rPr>
        <w:t>The category of need is recorded at referral stage of a child’s case</w:t>
      </w:r>
      <w:r>
        <w:rPr>
          <w:sz w:val="24"/>
          <w:szCs w:val="24"/>
        </w:rPr>
        <w:t>. As table 3.3 shows, a</w:t>
      </w:r>
      <w:r w:rsidR="00003903">
        <w:rPr>
          <w:sz w:val="24"/>
          <w:szCs w:val="24"/>
        </w:rPr>
        <w:t>s at 31</w:t>
      </w:r>
      <w:r w:rsidR="00003903" w:rsidRPr="00C84F6A">
        <w:rPr>
          <w:sz w:val="24"/>
          <w:szCs w:val="24"/>
          <w:vertAlign w:val="superscript"/>
        </w:rPr>
        <w:t>st</w:t>
      </w:r>
      <w:r w:rsidR="00003903">
        <w:rPr>
          <w:sz w:val="24"/>
          <w:szCs w:val="24"/>
        </w:rPr>
        <w:t xml:space="preserve"> March 2019, “abuse or neglect” was by far the highest cause for a child being classed as “in need” - </w:t>
      </w:r>
      <w:r w:rsidR="00003903" w:rsidRPr="00C84F6A">
        <w:rPr>
          <w:sz w:val="24"/>
          <w:szCs w:val="24"/>
        </w:rPr>
        <w:t>9</w:t>
      </w:r>
      <w:r w:rsidR="00003903">
        <w:rPr>
          <w:sz w:val="24"/>
          <w:szCs w:val="24"/>
        </w:rPr>
        <w:t>0</w:t>
      </w:r>
      <w:r w:rsidR="00003903" w:rsidRPr="00C84F6A">
        <w:rPr>
          <w:sz w:val="24"/>
          <w:szCs w:val="24"/>
        </w:rPr>
        <w:t xml:space="preserve">% of those aged 0-4 </w:t>
      </w:r>
      <w:r w:rsidR="00003903">
        <w:rPr>
          <w:sz w:val="24"/>
          <w:szCs w:val="24"/>
        </w:rPr>
        <w:t xml:space="preserve">were categorised as suffering abuse or neglect, compared with 74% of those aged 5 &amp; over. </w:t>
      </w:r>
    </w:p>
    <w:p w14:paraId="37031913" w14:textId="632CF9DF" w:rsidR="008A1A40" w:rsidRDefault="008A1A40" w:rsidP="008A1A40">
      <w:pPr>
        <w:rPr>
          <w:rFonts w:cs="Arial"/>
          <w:b/>
          <w:sz w:val="24"/>
          <w:szCs w:val="24"/>
        </w:rPr>
      </w:pPr>
    </w:p>
    <w:p w14:paraId="2CD54EDC" w14:textId="7B9ADD26" w:rsidR="003857B0" w:rsidRDefault="005A54C7" w:rsidP="008A1A40">
      <w:pPr>
        <w:rPr>
          <w:sz w:val="24"/>
          <w:szCs w:val="24"/>
        </w:rPr>
      </w:pPr>
      <w:r>
        <w:rPr>
          <w:sz w:val="24"/>
          <w:szCs w:val="24"/>
        </w:rPr>
        <w:t>A</w:t>
      </w:r>
      <w:r w:rsidRPr="005A54C7">
        <w:rPr>
          <w:sz w:val="24"/>
          <w:szCs w:val="24"/>
        </w:rPr>
        <w:t xml:space="preserve">ssessment factors are recorded at the conclusion of a Single Assessment (over 45 days) </w:t>
      </w:r>
      <w:r>
        <w:rPr>
          <w:sz w:val="24"/>
          <w:szCs w:val="24"/>
        </w:rPr>
        <w:t>and so</w:t>
      </w:r>
      <w:r w:rsidRPr="005A54C7">
        <w:rPr>
          <w:sz w:val="24"/>
          <w:szCs w:val="24"/>
        </w:rPr>
        <w:t xml:space="preserve"> give a better picture of the presiding issues </w:t>
      </w:r>
      <w:r>
        <w:rPr>
          <w:sz w:val="24"/>
          <w:szCs w:val="24"/>
        </w:rPr>
        <w:t xml:space="preserve">associated </w:t>
      </w:r>
      <w:r w:rsidRPr="005A54C7">
        <w:rPr>
          <w:sz w:val="24"/>
          <w:szCs w:val="24"/>
        </w:rPr>
        <w:t xml:space="preserve">with </w:t>
      </w:r>
      <w:r>
        <w:rPr>
          <w:sz w:val="24"/>
          <w:szCs w:val="24"/>
        </w:rPr>
        <w:t>a</w:t>
      </w:r>
      <w:r w:rsidRPr="005A54C7">
        <w:rPr>
          <w:sz w:val="24"/>
          <w:szCs w:val="24"/>
        </w:rPr>
        <w:t xml:space="preserve"> case.</w:t>
      </w:r>
      <w:r>
        <w:rPr>
          <w:sz w:val="24"/>
          <w:szCs w:val="24"/>
        </w:rPr>
        <w:t xml:space="preserve"> </w:t>
      </w:r>
      <w:r w:rsidR="00B24F0A">
        <w:rPr>
          <w:sz w:val="24"/>
          <w:szCs w:val="24"/>
        </w:rPr>
        <w:t>M</w:t>
      </w:r>
      <w:r w:rsidRPr="005A54C7">
        <w:rPr>
          <w:sz w:val="24"/>
          <w:szCs w:val="24"/>
        </w:rPr>
        <w:t xml:space="preserve">ore than one </w:t>
      </w:r>
      <w:r w:rsidR="00B24F0A" w:rsidRPr="005A54C7">
        <w:rPr>
          <w:sz w:val="24"/>
          <w:szCs w:val="24"/>
        </w:rPr>
        <w:t xml:space="preserve">Assessment Factor </w:t>
      </w:r>
      <w:r w:rsidRPr="005A54C7">
        <w:rPr>
          <w:sz w:val="24"/>
          <w:szCs w:val="24"/>
        </w:rPr>
        <w:t>can be recorded at the end of an assessment</w:t>
      </w:r>
      <w:r>
        <w:rPr>
          <w:sz w:val="24"/>
          <w:szCs w:val="24"/>
        </w:rPr>
        <w:t xml:space="preserve">. </w:t>
      </w:r>
      <w:r>
        <w:rPr>
          <w:rFonts w:cs="Arial"/>
          <w:sz w:val="24"/>
          <w:szCs w:val="24"/>
        </w:rPr>
        <w:t>A</w:t>
      </w:r>
      <w:r w:rsidR="003857B0">
        <w:rPr>
          <w:sz w:val="24"/>
          <w:szCs w:val="24"/>
        </w:rPr>
        <w:t>s at 31</w:t>
      </w:r>
      <w:r w:rsidR="003857B0" w:rsidRPr="00C84F6A">
        <w:rPr>
          <w:sz w:val="24"/>
          <w:szCs w:val="24"/>
          <w:vertAlign w:val="superscript"/>
        </w:rPr>
        <w:t>st</w:t>
      </w:r>
      <w:r w:rsidR="003857B0">
        <w:rPr>
          <w:sz w:val="24"/>
          <w:szCs w:val="24"/>
        </w:rPr>
        <w:t xml:space="preserve"> March 2019, “domestic violence” was the highest concern for a child’s welfare – 25.6</w:t>
      </w:r>
      <w:r w:rsidR="003857B0" w:rsidRPr="00C84F6A">
        <w:rPr>
          <w:sz w:val="24"/>
          <w:szCs w:val="24"/>
        </w:rPr>
        <w:t xml:space="preserve">% of those aged 0-4 </w:t>
      </w:r>
      <w:r w:rsidR="003857B0">
        <w:rPr>
          <w:sz w:val="24"/>
          <w:szCs w:val="24"/>
        </w:rPr>
        <w:t>were categorised with concerns over domestic violence, compared with 18.9% of those aged 5 &amp; over. “Abuse or neglect” was the second highest concern given for assessment (21.9% for under 5s) – the largest factor within this category is emotional abuse (10% of all assessments), followed by neglect (6%) and physical abuse (5%).</w:t>
      </w:r>
    </w:p>
    <w:p w14:paraId="4FD3984A" w14:textId="6B86C8E1" w:rsidR="00136C5E" w:rsidRDefault="003857B0" w:rsidP="008A1A40">
      <w:pPr>
        <w:rPr>
          <w:rFonts w:cs="Arial"/>
          <w:b/>
          <w:sz w:val="24"/>
          <w:szCs w:val="24"/>
        </w:rPr>
      </w:pPr>
      <w:r>
        <w:rPr>
          <w:rFonts w:cs="Arial"/>
          <w:b/>
          <w:sz w:val="24"/>
          <w:szCs w:val="24"/>
        </w:rPr>
        <w:t xml:space="preserve"> </w:t>
      </w:r>
    </w:p>
    <w:p w14:paraId="2B092720" w14:textId="77777777" w:rsidR="002E55EE" w:rsidRDefault="002E55EE">
      <w:pPr>
        <w:spacing w:after="160" w:line="259" w:lineRule="auto"/>
        <w:rPr>
          <w:rFonts w:cs="Arial"/>
          <w:b/>
          <w:sz w:val="24"/>
          <w:szCs w:val="24"/>
        </w:rPr>
      </w:pPr>
      <w:r>
        <w:rPr>
          <w:rFonts w:cs="Arial"/>
          <w:b/>
          <w:sz w:val="24"/>
          <w:szCs w:val="24"/>
        </w:rPr>
        <w:br w:type="page"/>
      </w:r>
    </w:p>
    <w:p w14:paraId="47F86EEB" w14:textId="3F1969FC" w:rsidR="008A1A40" w:rsidRPr="00C84F6A" w:rsidRDefault="008A1A40" w:rsidP="008A1A40">
      <w:pPr>
        <w:rPr>
          <w:rFonts w:cs="Arial"/>
          <w:b/>
          <w:sz w:val="24"/>
          <w:szCs w:val="24"/>
        </w:rPr>
      </w:pPr>
      <w:r w:rsidRPr="007F213F">
        <w:rPr>
          <w:rFonts w:cs="Arial"/>
          <w:b/>
          <w:sz w:val="24"/>
          <w:szCs w:val="24"/>
        </w:rPr>
        <w:t>Table 3.</w:t>
      </w:r>
      <w:r>
        <w:rPr>
          <w:rFonts w:cs="Arial"/>
          <w:b/>
          <w:sz w:val="24"/>
          <w:szCs w:val="24"/>
        </w:rPr>
        <w:t>4</w:t>
      </w:r>
      <w:r w:rsidRPr="007F213F">
        <w:rPr>
          <w:rFonts w:cs="Arial"/>
          <w:b/>
          <w:sz w:val="24"/>
          <w:szCs w:val="24"/>
        </w:rPr>
        <w:t xml:space="preserve">: </w:t>
      </w:r>
      <w:r>
        <w:rPr>
          <w:rFonts w:cs="Arial"/>
          <w:b/>
          <w:sz w:val="24"/>
          <w:szCs w:val="24"/>
        </w:rPr>
        <w:t>Assessment Factors for CIN as at 31</w:t>
      </w:r>
      <w:r w:rsidRPr="00C84F6A">
        <w:rPr>
          <w:rFonts w:cs="Arial"/>
          <w:b/>
          <w:sz w:val="24"/>
          <w:szCs w:val="24"/>
          <w:vertAlign w:val="superscript"/>
        </w:rPr>
        <w:t>st</w:t>
      </w:r>
      <w:r>
        <w:rPr>
          <w:rFonts w:cs="Arial"/>
          <w:b/>
          <w:sz w:val="24"/>
          <w:szCs w:val="24"/>
        </w:rPr>
        <w:t xml:space="preserve"> March 2019</w:t>
      </w:r>
      <w:r w:rsidRPr="008C2C13">
        <w:rPr>
          <w:rFonts w:cs="Arial"/>
          <w:b/>
        </w:rPr>
        <w:t xml:space="preserve"> </w:t>
      </w:r>
      <w:r w:rsidRPr="008A1A40">
        <w:rPr>
          <w:rFonts w:cs="Arial"/>
          <w:b/>
          <w:sz w:val="24"/>
          <w:szCs w:val="24"/>
        </w:rPr>
        <w:t>by Age</w:t>
      </w:r>
    </w:p>
    <w:tbl>
      <w:tblPr>
        <w:tblW w:w="901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830"/>
        <w:gridCol w:w="1134"/>
        <w:gridCol w:w="1134"/>
        <w:gridCol w:w="993"/>
        <w:gridCol w:w="992"/>
        <w:gridCol w:w="992"/>
        <w:gridCol w:w="941"/>
      </w:tblGrid>
      <w:tr w:rsidR="00C6640C" w:rsidRPr="007349F8" w14:paraId="4FD67E99" w14:textId="4226D6ED" w:rsidTr="00C6640C">
        <w:trPr>
          <w:trHeight w:val="290"/>
        </w:trPr>
        <w:tc>
          <w:tcPr>
            <w:tcW w:w="2830" w:type="dxa"/>
            <w:vMerge w:val="restart"/>
            <w:shd w:val="clear" w:color="auto" w:fill="D9D9D9" w:themeFill="background1" w:themeFillShade="D9"/>
            <w:noWrap/>
            <w:vAlign w:val="center"/>
            <w:hideMark/>
          </w:tcPr>
          <w:p w14:paraId="20C41154" w14:textId="0BDACF7C" w:rsidR="00C6640C" w:rsidRPr="007349F8" w:rsidRDefault="003857B0" w:rsidP="008A1A40">
            <w:pPr>
              <w:spacing w:after="0" w:line="240" w:lineRule="auto"/>
              <w:jc w:val="center"/>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Assessment Factor</w:t>
            </w:r>
          </w:p>
        </w:tc>
        <w:tc>
          <w:tcPr>
            <w:tcW w:w="4253" w:type="dxa"/>
            <w:gridSpan w:val="4"/>
            <w:tcBorders>
              <w:bottom w:val="single" w:sz="4" w:space="0" w:color="70AD47" w:themeColor="accent6"/>
            </w:tcBorders>
            <w:shd w:val="clear" w:color="auto" w:fill="D9D9D9" w:themeFill="background1" w:themeFillShade="D9"/>
            <w:vAlign w:val="center"/>
            <w:hideMark/>
          </w:tcPr>
          <w:p w14:paraId="1CD982D5" w14:textId="77777777"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AGE GROUP</w:t>
            </w:r>
          </w:p>
        </w:tc>
        <w:tc>
          <w:tcPr>
            <w:tcW w:w="992" w:type="dxa"/>
            <w:vMerge w:val="restart"/>
            <w:shd w:val="clear" w:color="auto" w:fill="D9D9D9" w:themeFill="background1" w:themeFillShade="D9"/>
            <w:vAlign w:val="center"/>
          </w:tcPr>
          <w:p w14:paraId="7643E075" w14:textId="0C263149"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Total</w:t>
            </w:r>
          </w:p>
        </w:tc>
        <w:tc>
          <w:tcPr>
            <w:tcW w:w="941" w:type="dxa"/>
            <w:vMerge w:val="restart"/>
            <w:shd w:val="clear" w:color="auto" w:fill="D9D9D9" w:themeFill="background1" w:themeFillShade="D9"/>
            <w:vAlign w:val="center"/>
          </w:tcPr>
          <w:p w14:paraId="67102AC5" w14:textId="5E7239B8"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w:t>
            </w:r>
          </w:p>
        </w:tc>
      </w:tr>
      <w:tr w:rsidR="00C6640C" w:rsidRPr="007349F8" w14:paraId="6E0671D0" w14:textId="7245BE40" w:rsidTr="00C6640C">
        <w:trPr>
          <w:trHeight w:val="290"/>
        </w:trPr>
        <w:tc>
          <w:tcPr>
            <w:tcW w:w="2830" w:type="dxa"/>
            <w:vMerge/>
            <w:vAlign w:val="center"/>
            <w:hideMark/>
          </w:tcPr>
          <w:p w14:paraId="72C3925D" w14:textId="77777777" w:rsidR="00C6640C" w:rsidRPr="007349F8" w:rsidRDefault="00C6640C" w:rsidP="008A1A40">
            <w:pPr>
              <w:spacing w:after="0" w:line="240" w:lineRule="auto"/>
              <w:rPr>
                <w:rFonts w:ascii="Calibri" w:eastAsia="Times New Roman" w:hAnsi="Calibri" w:cs="Calibri"/>
                <w:bCs/>
                <w:color w:val="000000"/>
                <w:sz w:val="24"/>
                <w:szCs w:val="24"/>
                <w:lang w:eastAsia="en-GB"/>
              </w:rPr>
            </w:pPr>
          </w:p>
        </w:tc>
        <w:tc>
          <w:tcPr>
            <w:tcW w:w="2268" w:type="dxa"/>
            <w:gridSpan w:val="2"/>
            <w:shd w:val="clear" w:color="auto" w:fill="D9D9D9" w:themeFill="background1" w:themeFillShade="D9"/>
            <w:noWrap/>
            <w:vAlign w:val="center"/>
            <w:hideMark/>
          </w:tcPr>
          <w:p w14:paraId="53D2F15F" w14:textId="77777777"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 xml:space="preserve">0-4 </w:t>
            </w:r>
            <w:r>
              <w:rPr>
                <w:rFonts w:ascii="Calibri" w:eastAsia="Times New Roman" w:hAnsi="Calibri" w:cs="Calibri"/>
                <w:bCs/>
                <w:color w:val="000000"/>
                <w:sz w:val="24"/>
                <w:szCs w:val="24"/>
                <w:lang w:eastAsia="en-GB"/>
              </w:rPr>
              <w:t>year</w:t>
            </w:r>
            <w:r w:rsidRPr="007349F8">
              <w:rPr>
                <w:rFonts w:ascii="Calibri" w:eastAsia="Times New Roman" w:hAnsi="Calibri" w:cs="Calibri"/>
                <w:bCs/>
                <w:color w:val="000000"/>
                <w:sz w:val="24"/>
                <w:szCs w:val="24"/>
                <w:lang w:eastAsia="en-GB"/>
              </w:rPr>
              <w:t xml:space="preserve"> olds</w:t>
            </w:r>
          </w:p>
        </w:tc>
        <w:tc>
          <w:tcPr>
            <w:tcW w:w="1985" w:type="dxa"/>
            <w:gridSpan w:val="2"/>
            <w:shd w:val="clear" w:color="auto" w:fill="D9D9D9" w:themeFill="background1" w:themeFillShade="D9"/>
            <w:noWrap/>
            <w:vAlign w:val="center"/>
            <w:hideMark/>
          </w:tcPr>
          <w:p w14:paraId="5E829F74" w14:textId="13AA980F"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5</w:t>
            </w:r>
            <w:r>
              <w:rPr>
                <w:rFonts w:ascii="Calibri" w:eastAsia="Times New Roman" w:hAnsi="Calibri" w:cs="Calibri"/>
                <w:bCs/>
                <w:color w:val="000000"/>
                <w:sz w:val="24"/>
                <w:szCs w:val="24"/>
                <w:lang w:eastAsia="en-GB"/>
              </w:rPr>
              <w:t xml:space="preserve"> &amp; over</w:t>
            </w:r>
          </w:p>
        </w:tc>
        <w:tc>
          <w:tcPr>
            <w:tcW w:w="992" w:type="dxa"/>
            <w:vMerge/>
            <w:shd w:val="clear" w:color="auto" w:fill="D9D9D9" w:themeFill="background1" w:themeFillShade="D9"/>
          </w:tcPr>
          <w:p w14:paraId="12CA1425" w14:textId="77777777"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p>
        </w:tc>
        <w:tc>
          <w:tcPr>
            <w:tcW w:w="941" w:type="dxa"/>
            <w:vMerge/>
            <w:shd w:val="clear" w:color="auto" w:fill="D9D9D9" w:themeFill="background1" w:themeFillShade="D9"/>
          </w:tcPr>
          <w:p w14:paraId="78A092A9" w14:textId="77777777"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p>
        </w:tc>
      </w:tr>
      <w:tr w:rsidR="00C6640C" w:rsidRPr="007349F8" w14:paraId="4C2F67C1" w14:textId="43274F83" w:rsidTr="00C6640C">
        <w:trPr>
          <w:trHeight w:val="290"/>
        </w:trPr>
        <w:tc>
          <w:tcPr>
            <w:tcW w:w="2830" w:type="dxa"/>
            <w:vMerge/>
            <w:vAlign w:val="center"/>
            <w:hideMark/>
          </w:tcPr>
          <w:p w14:paraId="084921FE" w14:textId="77777777" w:rsidR="00C6640C" w:rsidRPr="007349F8" w:rsidRDefault="00C6640C" w:rsidP="008A1A40">
            <w:pPr>
              <w:spacing w:after="0" w:line="240" w:lineRule="auto"/>
              <w:rPr>
                <w:rFonts w:ascii="Calibri" w:eastAsia="Times New Roman" w:hAnsi="Calibri" w:cs="Calibri"/>
                <w:bCs/>
                <w:color w:val="000000"/>
                <w:sz w:val="24"/>
                <w:szCs w:val="24"/>
                <w:lang w:eastAsia="en-GB"/>
              </w:rPr>
            </w:pPr>
          </w:p>
        </w:tc>
        <w:tc>
          <w:tcPr>
            <w:tcW w:w="1134" w:type="dxa"/>
            <w:shd w:val="clear" w:color="auto" w:fill="D9D9D9" w:themeFill="background1" w:themeFillShade="D9"/>
            <w:noWrap/>
            <w:vAlign w:val="center"/>
            <w:hideMark/>
          </w:tcPr>
          <w:p w14:paraId="78A9B043" w14:textId="77777777"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No.</w:t>
            </w:r>
          </w:p>
        </w:tc>
        <w:tc>
          <w:tcPr>
            <w:tcW w:w="1134" w:type="dxa"/>
            <w:shd w:val="clear" w:color="auto" w:fill="D9D9D9" w:themeFill="background1" w:themeFillShade="D9"/>
            <w:noWrap/>
            <w:vAlign w:val="center"/>
            <w:hideMark/>
          </w:tcPr>
          <w:p w14:paraId="20DBF3E0" w14:textId="77777777" w:rsidR="00C6640C" w:rsidRPr="007349F8" w:rsidRDefault="00C6640C" w:rsidP="008A1A40">
            <w:pPr>
              <w:spacing w:after="0" w:line="240" w:lineRule="auto"/>
              <w:jc w:val="center"/>
              <w:rPr>
                <w:rFonts w:ascii="Calibri" w:eastAsia="Times New Roman" w:hAnsi="Calibri" w:cs="Calibri"/>
                <w:color w:val="000000"/>
                <w:sz w:val="24"/>
                <w:szCs w:val="24"/>
                <w:lang w:eastAsia="en-GB"/>
              </w:rPr>
            </w:pPr>
            <w:r w:rsidRPr="007349F8">
              <w:rPr>
                <w:rFonts w:ascii="Calibri" w:eastAsia="Times New Roman" w:hAnsi="Calibri" w:cs="Calibri"/>
                <w:color w:val="000000"/>
                <w:sz w:val="24"/>
                <w:szCs w:val="24"/>
                <w:lang w:eastAsia="en-GB"/>
              </w:rPr>
              <w:t>%</w:t>
            </w:r>
          </w:p>
        </w:tc>
        <w:tc>
          <w:tcPr>
            <w:tcW w:w="993" w:type="dxa"/>
            <w:shd w:val="clear" w:color="auto" w:fill="D9D9D9" w:themeFill="background1" w:themeFillShade="D9"/>
            <w:noWrap/>
            <w:vAlign w:val="center"/>
            <w:hideMark/>
          </w:tcPr>
          <w:p w14:paraId="3127A3D4" w14:textId="77777777" w:rsidR="00C6640C" w:rsidRPr="007349F8" w:rsidRDefault="00C6640C" w:rsidP="008A1A40">
            <w:pPr>
              <w:spacing w:after="0" w:line="240" w:lineRule="auto"/>
              <w:jc w:val="center"/>
              <w:rPr>
                <w:rFonts w:ascii="Calibri" w:eastAsia="Times New Roman" w:hAnsi="Calibri" w:cs="Calibri"/>
                <w:bCs/>
                <w:color w:val="000000"/>
                <w:sz w:val="24"/>
                <w:szCs w:val="24"/>
                <w:lang w:eastAsia="en-GB"/>
              </w:rPr>
            </w:pPr>
            <w:r w:rsidRPr="007349F8">
              <w:rPr>
                <w:rFonts w:ascii="Calibri" w:eastAsia="Times New Roman" w:hAnsi="Calibri" w:cs="Calibri"/>
                <w:bCs/>
                <w:color w:val="000000"/>
                <w:sz w:val="24"/>
                <w:szCs w:val="24"/>
                <w:lang w:eastAsia="en-GB"/>
              </w:rPr>
              <w:t>No.</w:t>
            </w:r>
          </w:p>
        </w:tc>
        <w:tc>
          <w:tcPr>
            <w:tcW w:w="992" w:type="dxa"/>
            <w:shd w:val="clear" w:color="auto" w:fill="D9D9D9" w:themeFill="background1" w:themeFillShade="D9"/>
            <w:noWrap/>
            <w:vAlign w:val="center"/>
            <w:hideMark/>
          </w:tcPr>
          <w:p w14:paraId="58C4D27B" w14:textId="77777777" w:rsidR="00C6640C" w:rsidRPr="007349F8" w:rsidRDefault="00C6640C" w:rsidP="008A1A40">
            <w:pPr>
              <w:spacing w:after="0" w:line="240" w:lineRule="auto"/>
              <w:jc w:val="center"/>
              <w:rPr>
                <w:rFonts w:ascii="Calibri" w:eastAsia="Times New Roman" w:hAnsi="Calibri" w:cs="Calibri"/>
                <w:color w:val="000000"/>
                <w:sz w:val="24"/>
                <w:szCs w:val="24"/>
                <w:lang w:eastAsia="en-GB"/>
              </w:rPr>
            </w:pPr>
            <w:r w:rsidRPr="007349F8">
              <w:rPr>
                <w:rFonts w:ascii="Calibri" w:eastAsia="Times New Roman" w:hAnsi="Calibri" w:cs="Calibri"/>
                <w:color w:val="000000"/>
                <w:sz w:val="24"/>
                <w:szCs w:val="24"/>
                <w:lang w:eastAsia="en-GB"/>
              </w:rPr>
              <w:t>%</w:t>
            </w:r>
          </w:p>
        </w:tc>
        <w:tc>
          <w:tcPr>
            <w:tcW w:w="992" w:type="dxa"/>
            <w:vMerge/>
            <w:shd w:val="clear" w:color="auto" w:fill="D9D9D9" w:themeFill="background1" w:themeFillShade="D9"/>
          </w:tcPr>
          <w:p w14:paraId="052A0F43" w14:textId="77777777" w:rsidR="00C6640C" w:rsidRPr="007349F8" w:rsidRDefault="00C6640C" w:rsidP="008A1A40">
            <w:pPr>
              <w:spacing w:after="0" w:line="240" w:lineRule="auto"/>
              <w:jc w:val="center"/>
              <w:rPr>
                <w:rFonts w:ascii="Calibri" w:eastAsia="Times New Roman" w:hAnsi="Calibri" w:cs="Calibri"/>
                <w:color w:val="000000"/>
                <w:sz w:val="24"/>
                <w:szCs w:val="24"/>
                <w:lang w:eastAsia="en-GB"/>
              </w:rPr>
            </w:pPr>
          </w:p>
        </w:tc>
        <w:tc>
          <w:tcPr>
            <w:tcW w:w="941" w:type="dxa"/>
            <w:vMerge/>
            <w:shd w:val="clear" w:color="auto" w:fill="D9D9D9" w:themeFill="background1" w:themeFillShade="D9"/>
          </w:tcPr>
          <w:p w14:paraId="562220A4" w14:textId="77777777" w:rsidR="00C6640C" w:rsidRPr="007349F8" w:rsidRDefault="00C6640C" w:rsidP="008A1A40">
            <w:pPr>
              <w:spacing w:after="0" w:line="240" w:lineRule="auto"/>
              <w:jc w:val="center"/>
              <w:rPr>
                <w:rFonts w:ascii="Calibri" w:eastAsia="Times New Roman" w:hAnsi="Calibri" w:cs="Calibri"/>
                <w:color w:val="000000"/>
                <w:sz w:val="24"/>
                <w:szCs w:val="24"/>
                <w:lang w:eastAsia="en-GB"/>
              </w:rPr>
            </w:pPr>
          </w:p>
        </w:tc>
      </w:tr>
      <w:tr w:rsidR="00C6640C" w:rsidRPr="007349F8" w14:paraId="43C5A1AC" w14:textId="764B1B6D" w:rsidTr="00C6640C">
        <w:trPr>
          <w:trHeight w:val="290"/>
        </w:trPr>
        <w:tc>
          <w:tcPr>
            <w:tcW w:w="2830" w:type="dxa"/>
            <w:shd w:val="clear" w:color="auto" w:fill="auto"/>
            <w:noWrap/>
            <w:vAlign w:val="bottom"/>
          </w:tcPr>
          <w:p w14:paraId="51AC27E3" w14:textId="20CA8F9E" w:rsidR="002D6E41" w:rsidRPr="002D6E41" w:rsidRDefault="002D6E41" w:rsidP="002D6E41">
            <w:pPr>
              <w:spacing w:after="0" w:line="240" w:lineRule="auto"/>
              <w:rPr>
                <w:rFonts w:eastAsia="Times New Roman" w:cstheme="minorHAnsi"/>
                <w:color w:val="000000"/>
                <w:sz w:val="22"/>
                <w:szCs w:val="22"/>
                <w:lang w:eastAsia="en-GB"/>
              </w:rPr>
            </w:pPr>
            <w:r w:rsidRPr="002D6E41">
              <w:rPr>
                <w:rFonts w:cstheme="minorHAnsi"/>
                <w:sz w:val="22"/>
                <w:szCs w:val="22"/>
              </w:rPr>
              <w:t>Alcohol misuse</w:t>
            </w:r>
          </w:p>
        </w:tc>
        <w:tc>
          <w:tcPr>
            <w:tcW w:w="1134" w:type="dxa"/>
            <w:shd w:val="clear" w:color="auto" w:fill="auto"/>
            <w:noWrap/>
            <w:vAlign w:val="bottom"/>
          </w:tcPr>
          <w:p w14:paraId="548301F6" w14:textId="15F473DF"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315</w:t>
            </w:r>
          </w:p>
        </w:tc>
        <w:tc>
          <w:tcPr>
            <w:tcW w:w="1134" w:type="dxa"/>
            <w:shd w:val="clear" w:color="auto" w:fill="auto"/>
            <w:vAlign w:val="bottom"/>
          </w:tcPr>
          <w:p w14:paraId="40EF13AF" w14:textId="5E0DF2D3"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7.6%</w:t>
            </w:r>
          </w:p>
        </w:tc>
        <w:tc>
          <w:tcPr>
            <w:tcW w:w="993" w:type="dxa"/>
            <w:shd w:val="clear" w:color="auto" w:fill="auto"/>
            <w:noWrap/>
            <w:vAlign w:val="bottom"/>
          </w:tcPr>
          <w:p w14:paraId="2ED2E7D5" w14:textId="58296710"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769</w:t>
            </w:r>
          </w:p>
        </w:tc>
        <w:tc>
          <w:tcPr>
            <w:tcW w:w="992" w:type="dxa"/>
            <w:shd w:val="clear" w:color="auto" w:fill="auto"/>
            <w:vAlign w:val="bottom"/>
          </w:tcPr>
          <w:p w14:paraId="6C14A640" w14:textId="4763A58E"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7.6%</w:t>
            </w:r>
          </w:p>
        </w:tc>
        <w:tc>
          <w:tcPr>
            <w:tcW w:w="992" w:type="dxa"/>
            <w:vAlign w:val="bottom"/>
          </w:tcPr>
          <w:p w14:paraId="1C063116" w14:textId="1F81FF72" w:rsidR="002D6E41" w:rsidRPr="00C6640C" w:rsidRDefault="002D6E41" w:rsidP="002E55EE">
            <w:pPr>
              <w:spacing w:after="0" w:line="240" w:lineRule="auto"/>
              <w:jc w:val="right"/>
              <w:rPr>
                <w:rFonts w:cstheme="minorHAnsi"/>
                <w:sz w:val="22"/>
                <w:szCs w:val="22"/>
              </w:rPr>
            </w:pPr>
            <w:r w:rsidRPr="00C6640C">
              <w:rPr>
                <w:rFonts w:cs="Arial"/>
                <w:sz w:val="22"/>
                <w:szCs w:val="22"/>
              </w:rPr>
              <w:t>1084</w:t>
            </w:r>
          </w:p>
        </w:tc>
        <w:tc>
          <w:tcPr>
            <w:tcW w:w="941" w:type="dxa"/>
            <w:vAlign w:val="bottom"/>
          </w:tcPr>
          <w:p w14:paraId="3A681B5C" w14:textId="59316C0A" w:rsidR="002D6E41" w:rsidRPr="00C6640C" w:rsidRDefault="002D6E41" w:rsidP="002E55EE">
            <w:pPr>
              <w:spacing w:after="0" w:line="240" w:lineRule="auto"/>
              <w:jc w:val="right"/>
              <w:rPr>
                <w:rFonts w:cstheme="minorHAnsi"/>
                <w:sz w:val="22"/>
                <w:szCs w:val="22"/>
              </w:rPr>
            </w:pPr>
            <w:r w:rsidRPr="00C6640C">
              <w:rPr>
                <w:rFonts w:cs="Arial"/>
                <w:sz w:val="22"/>
                <w:szCs w:val="22"/>
              </w:rPr>
              <w:t>7.6%</w:t>
            </w:r>
          </w:p>
        </w:tc>
      </w:tr>
      <w:tr w:rsidR="00C6640C" w:rsidRPr="007349F8" w14:paraId="1A63C01F" w14:textId="46EE6E84" w:rsidTr="00C6640C">
        <w:trPr>
          <w:trHeight w:val="290"/>
        </w:trPr>
        <w:tc>
          <w:tcPr>
            <w:tcW w:w="2830" w:type="dxa"/>
            <w:shd w:val="clear" w:color="auto" w:fill="auto"/>
            <w:noWrap/>
            <w:vAlign w:val="bottom"/>
          </w:tcPr>
          <w:p w14:paraId="0FD81A1B" w14:textId="54D32322" w:rsidR="002D6E41" w:rsidRPr="002D6E41" w:rsidRDefault="002D6E41" w:rsidP="002D6E41">
            <w:pPr>
              <w:spacing w:after="0" w:line="240" w:lineRule="auto"/>
              <w:rPr>
                <w:rFonts w:eastAsia="Times New Roman" w:cstheme="minorHAnsi"/>
                <w:b/>
                <w:bCs/>
                <w:color w:val="000000"/>
                <w:sz w:val="22"/>
                <w:szCs w:val="22"/>
                <w:lang w:eastAsia="en-GB"/>
              </w:rPr>
            </w:pPr>
            <w:r w:rsidRPr="002D6E41">
              <w:rPr>
                <w:rFonts w:cstheme="minorHAnsi"/>
                <w:sz w:val="22"/>
                <w:szCs w:val="22"/>
              </w:rPr>
              <w:t>Drug misuse</w:t>
            </w:r>
          </w:p>
        </w:tc>
        <w:tc>
          <w:tcPr>
            <w:tcW w:w="1134" w:type="dxa"/>
            <w:shd w:val="clear" w:color="auto" w:fill="auto"/>
            <w:noWrap/>
            <w:vAlign w:val="bottom"/>
          </w:tcPr>
          <w:p w14:paraId="706E3062" w14:textId="42F7B46E" w:rsidR="002D6E41" w:rsidRPr="002D6E41" w:rsidRDefault="002D6E41" w:rsidP="002E55EE">
            <w:pPr>
              <w:spacing w:after="0" w:line="240" w:lineRule="auto"/>
              <w:jc w:val="right"/>
              <w:rPr>
                <w:rFonts w:eastAsia="Times New Roman" w:cstheme="minorHAnsi"/>
                <w:b/>
                <w:bCs/>
                <w:color w:val="000000"/>
                <w:sz w:val="22"/>
                <w:szCs w:val="22"/>
                <w:lang w:eastAsia="en-GB"/>
              </w:rPr>
            </w:pPr>
            <w:r w:rsidRPr="002D6E41">
              <w:rPr>
                <w:rFonts w:cstheme="minorHAnsi"/>
                <w:sz w:val="22"/>
                <w:szCs w:val="22"/>
              </w:rPr>
              <w:t>257</w:t>
            </w:r>
          </w:p>
        </w:tc>
        <w:tc>
          <w:tcPr>
            <w:tcW w:w="1134" w:type="dxa"/>
            <w:shd w:val="clear" w:color="auto" w:fill="auto"/>
            <w:vAlign w:val="bottom"/>
          </w:tcPr>
          <w:p w14:paraId="4E4310BE" w14:textId="33D1BB13" w:rsidR="002D6E41" w:rsidRPr="002D6E41" w:rsidRDefault="002D6E41" w:rsidP="002E55EE">
            <w:pPr>
              <w:spacing w:after="0" w:line="240" w:lineRule="auto"/>
              <w:jc w:val="right"/>
              <w:rPr>
                <w:rFonts w:eastAsia="Times New Roman" w:cstheme="minorHAnsi"/>
                <w:b/>
                <w:bCs/>
                <w:color w:val="000000"/>
                <w:sz w:val="22"/>
                <w:szCs w:val="22"/>
                <w:lang w:eastAsia="en-GB"/>
              </w:rPr>
            </w:pPr>
            <w:r w:rsidRPr="002D6E41">
              <w:rPr>
                <w:rFonts w:cstheme="minorHAnsi"/>
                <w:sz w:val="22"/>
                <w:szCs w:val="22"/>
              </w:rPr>
              <w:t>6.2%</w:t>
            </w:r>
          </w:p>
        </w:tc>
        <w:tc>
          <w:tcPr>
            <w:tcW w:w="993" w:type="dxa"/>
            <w:shd w:val="clear" w:color="auto" w:fill="auto"/>
            <w:noWrap/>
            <w:vAlign w:val="bottom"/>
          </w:tcPr>
          <w:p w14:paraId="7DE62DA6" w14:textId="10029CF3" w:rsidR="002D6E41" w:rsidRPr="002D6E41" w:rsidRDefault="002D6E41" w:rsidP="002E55EE">
            <w:pPr>
              <w:spacing w:after="0" w:line="240" w:lineRule="auto"/>
              <w:jc w:val="right"/>
              <w:rPr>
                <w:rFonts w:eastAsia="Times New Roman" w:cstheme="minorHAnsi"/>
                <w:b/>
                <w:bCs/>
                <w:color w:val="000000"/>
                <w:sz w:val="22"/>
                <w:szCs w:val="22"/>
                <w:lang w:eastAsia="en-GB"/>
              </w:rPr>
            </w:pPr>
            <w:r w:rsidRPr="002D6E41">
              <w:rPr>
                <w:rFonts w:cstheme="minorHAnsi"/>
                <w:sz w:val="22"/>
                <w:szCs w:val="22"/>
              </w:rPr>
              <w:t>582</w:t>
            </w:r>
          </w:p>
        </w:tc>
        <w:tc>
          <w:tcPr>
            <w:tcW w:w="992" w:type="dxa"/>
            <w:shd w:val="clear" w:color="auto" w:fill="auto"/>
            <w:vAlign w:val="bottom"/>
          </w:tcPr>
          <w:p w14:paraId="02723757" w14:textId="4F4BCFF9" w:rsidR="002D6E41" w:rsidRPr="002D6E41" w:rsidRDefault="002D6E41" w:rsidP="002E55EE">
            <w:pPr>
              <w:spacing w:after="0" w:line="240" w:lineRule="auto"/>
              <w:jc w:val="right"/>
              <w:rPr>
                <w:rFonts w:eastAsia="Times New Roman" w:cstheme="minorHAnsi"/>
                <w:b/>
                <w:bCs/>
                <w:color w:val="000000"/>
                <w:sz w:val="22"/>
                <w:szCs w:val="22"/>
                <w:lang w:eastAsia="en-GB"/>
              </w:rPr>
            </w:pPr>
            <w:r w:rsidRPr="002D6E41">
              <w:rPr>
                <w:rFonts w:cstheme="minorHAnsi"/>
                <w:sz w:val="22"/>
                <w:szCs w:val="22"/>
              </w:rPr>
              <w:t>5.7%</w:t>
            </w:r>
          </w:p>
        </w:tc>
        <w:tc>
          <w:tcPr>
            <w:tcW w:w="992" w:type="dxa"/>
            <w:vAlign w:val="bottom"/>
          </w:tcPr>
          <w:p w14:paraId="74950973" w14:textId="580A9B3D" w:rsidR="002D6E41" w:rsidRPr="00C6640C" w:rsidRDefault="002D6E41" w:rsidP="002E55EE">
            <w:pPr>
              <w:spacing w:after="0" w:line="240" w:lineRule="auto"/>
              <w:jc w:val="right"/>
              <w:rPr>
                <w:rFonts w:cstheme="minorHAnsi"/>
                <w:sz w:val="22"/>
                <w:szCs w:val="22"/>
              </w:rPr>
            </w:pPr>
            <w:r w:rsidRPr="00C6640C">
              <w:rPr>
                <w:rFonts w:cs="Arial"/>
                <w:sz w:val="22"/>
                <w:szCs w:val="22"/>
              </w:rPr>
              <w:t>839</w:t>
            </w:r>
          </w:p>
        </w:tc>
        <w:tc>
          <w:tcPr>
            <w:tcW w:w="941" w:type="dxa"/>
            <w:vAlign w:val="bottom"/>
          </w:tcPr>
          <w:p w14:paraId="44128C7A" w14:textId="29F26AAC" w:rsidR="002D6E41" w:rsidRPr="00C6640C" w:rsidRDefault="002D6E41" w:rsidP="002E55EE">
            <w:pPr>
              <w:spacing w:after="0" w:line="240" w:lineRule="auto"/>
              <w:jc w:val="right"/>
              <w:rPr>
                <w:rFonts w:cstheme="minorHAnsi"/>
                <w:sz w:val="22"/>
                <w:szCs w:val="22"/>
              </w:rPr>
            </w:pPr>
            <w:r w:rsidRPr="00C6640C">
              <w:rPr>
                <w:rFonts w:cs="Arial"/>
                <w:sz w:val="22"/>
                <w:szCs w:val="22"/>
              </w:rPr>
              <w:t>5.9%</w:t>
            </w:r>
          </w:p>
        </w:tc>
      </w:tr>
      <w:tr w:rsidR="00C6640C" w:rsidRPr="007349F8" w14:paraId="5A85A1AA" w14:textId="16A40BF3" w:rsidTr="00C6640C">
        <w:trPr>
          <w:trHeight w:val="290"/>
        </w:trPr>
        <w:tc>
          <w:tcPr>
            <w:tcW w:w="2830" w:type="dxa"/>
            <w:shd w:val="clear" w:color="auto" w:fill="auto"/>
            <w:noWrap/>
            <w:vAlign w:val="bottom"/>
          </w:tcPr>
          <w:p w14:paraId="7FCE22B3" w14:textId="2A76580D" w:rsidR="002D6E41" w:rsidRPr="002D6E41" w:rsidRDefault="002D6E41" w:rsidP="002D6E41">
            <w:pPr>
              <w:spacing w:after="0" w:line="240" w:lineRule="auto"/>
              <w:rPr>
                <w:rFonts w:eastAsia="Times New Roman" w:cstheme="minorHAnsi"/>
                <w:color w:val="000000"/>
                <w:sz w:val="22"/>
                <w:szCs w:val="22"/>
                <w:lang w:eastAsia="en-GB"/>
              </w:rPr>
            </w:pPr>
            <w:r w:rsidRPr="002D6E41">
              <w:rPr>
                <w:rFonts w:cstheme="minorHAnsi"/>
                <w:sz w:val="22"/>
                <w:szCs w:val="22"/>
              </w:rPr>
              <w:t>Domestic violence</w:t>
            </w:r>
          </w:p>
        </w:tc>
        <w:tc>
          <w:tcPr>
            <w:tcW w:w="1134" w:type="dxa"/>
            <w:shd w:val="clear" w:color="auto" w:fill="auto"/>
            <w:noWrap/>
            <w:vAlign w:val="bottom"/>
          </w:tcPr>
          <w:p w14:paraId="22162B22" w14:textId="191CC756"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1065</w:t>
            </w:r>
          </w:p>
        </w:tc>
        <w:tc>
          <w:tcPr>
            <w:tcW w:w="1134" w:type="dxa"/>
            <w:shd w:val="clear" w:color="auto" w:fill="auto"/>
            <w:vAlign w:val="bottom"/>
          </w:tcPr>
          <w:p w14:paraId="478185CD" w14:textId="0017F534"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25.6%</w:t>
            </w:r>
          </w:p>
        </w:tc>
        <w:tc>
          <w:tcPr>
            <w:tcW w:w="993" w:type="dxa"/>
            <w:shd w:val="clear" w:color="auto" w:fill="auto"/>
            <w:noWrap/>
            <w:vAlign w:val="bottom"/>
          </w:tcPr>
          <w:p w14:paraId="4EF6EA21" w14:textId="32267FE4"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1915</w:t>
            </w:r>
          </w:p>
        </w:tc>
        <w:tc>
          <w:tcPr>
            <w:tcW w:w="992" w:type="dxa"/>
            <w:shd w:val="clear" w:color="auto" w:fill="auto"/>
            <w:vAlign w:val="bottom"/>
          </w:tcPr>
          <w:p w14:paraId="7180D9F7" w14:textId="0A0529EC"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18.9%</w:t>
            </w:r>
          </w:p>
        </w:tc>
        <w:tc>
          <w:tcPr>
            <w:tcW w:w="992" w:type="dxa"/>
            <w:vAlign w:val="bottom"/>
          </w:tcPr>
          <w:p w14:paraId="37150BE6" w14:textId="53F31775" w:rsidR="002D6E41" w:rsidRPr="00C6640C" w:rsidRDefault="002D6E41" w:rsidP="002E55EE">
            <w:pPr>
              <w:spacing w:after="0" w:line="240" w:lineRule="auto"/>
              <w:jc w:val="right"/>
              <w:rPr>
                <w:rFonts w:cstheme="minorHAnsi"/>
                <w:sz w:val="22"/>
                <w:szCs w:val="22"/>
              </w:rPr>
            </w:pPr>
            <w:r w:rsidRPr="00C6640C">
              <w:rPr>
                <w:rFonts w:cs="Arial"/>
                <w:sz w:val="22"/>
                <w:szCs w:val="22"/>
              </w:rPr>
              <w:t>2980</w:t>
            </w:r>
          </w:p>
        </w:tc>
        <w:tc>
          <w:tcPr>
            <w:tcW w:w="941" w:type="dxa"/>
            <w:vAlign w:val="bottom"/>
          </w:tcPr>
          <w:p w14:paraId="2E6B24C6" w14:textId="2FD7CE94" w:rsidR="002D6E41" w:rsidRPr="00C6640C" w:rsidRDefault="002D6E41" w:rsidP="002E55EE">
            <w:pPr>
              <w:spacing w:after="0" w:line="240" w:lineRule="auto"/>
              <w:jc w:val="right"/>
              <w:rPr>
                <w:rFonts w:cstheme="minorHAnsi"/>
                <w:sz w:val="22"/>
                <w:szCs w:val="22"/>
              </w:rPr>
            </w:pPr>
            <w:r w:rsidRPr="00C6640C">
              <w:rPr>
                <w:rFonts w:cs="Arial"/>
                <w:sz w:val="22"/>
                <w:szCs w:val="22"/>
              </w:rPr>
              <w:t>20.9%</w:t>
            </w:r>
          </w:p>
        </w:tc>
      </w:tr>
      <w:tr w:rsidR="00C6640C" w:rsidRPr="007349F8" w14:paraId="5001186F" w14:textId="5F6E7BF2" w:rsidTr="00C6640C">
        <w:trPr>
          <w:trHeight w:val="290"/>
        </w:trPr>
        <w:tc>
          <w:tcPr>
            <w:tcW w:w="2830" w:type="dxa"/>
            <w:shd w:val="clear" w:color="auto" w:fill="auto"/>
            <w:noWrap/>
            <w:vAlign w:val="bottom"/>
          </w:tcPr>
          <w:p w14:paraId="5397CE6C" w14:textId="0325E68E" w:rsidR="002D6E41" w:rsidRPr="002D6E41" w:rsidRDefault="002D6E41" w:rsidP="002D6E41">
            <w:pPr>
              <w:spacing w:after="0" w:line="240" w:lineRule="auto"/>
              <w:rPr>
                <w:rFonts w:eastAsia="Times New Roman" w:cstheme="minorHAnsi"/>
                <w:color w:val="000000"/>
                <w:sz w:val="22"/>
                <w:szCs w:val="22"/>
                <w:lang w:eastAsia="en-GB"/>
              </w:rPr>
            </w:pPr>
            <w:r w:rsidRPr="002D6E41">
              <w:rPr>
                <w:rFonts w:cstheme="minorHAnsi"/>
                <w:sz w:val="22"/>
                <w:szCs w:val="22"/>
              </w:rPr>
              <w:t>Mental health</w:t>
            </w:r>
          </w:p>
        </w:tc>
        <w:tc>
          <w:tcPr>
            <w:tcW w:w="1134" w:type="dxa"/>
            <w:shd w:val="clear" w:color="auto" w:fill="auto"/>
            <w:noWrap/>
            <w:vAlign w:val="bottom"/>
          </w:tcPr>
          <w:p w14:paraId="01D6F302" w14:textId="600A8251"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562</w:t>
            </w:r>
          </w:p>
        </w:tc>
        <w:tc>
          <w:tcPr>
            <w:tcW w:w="1134" w:type="dxa"/>
            <w:shd w:val="clear" w:color="auto" w:fill="auto"/>
            <w:vAlign w:val="bottom"/>
          </w:tcPr>
          <w:p w14:paraId="2E354B2D" w14:textId="0E364821"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13.5%</w:t>
            </w:r>
          </w:p>
        </w:tc>
        <w:tc>
          <w:tcPr>
            <w:tcW w:w="993" w:type="dxa"/>
            <w:shd w:val="clear" w:color="auto" w:fill="auto"/>
            <w:noWrap/>
            <w:vAlign w:val="bottom"/>
          </w:tcPr>
          <w:p w14:paraId="4D91C0B6" w14:textId="5379D747"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1376</w:t>
            </w:r>
          </w:p>
        </w:tc>
        <w:tc>
          <w:tcPr>
            <w:tcW w:w="992" w:type="dxa"/>
            <w:shd w:val="clear" w:color="auto" w:fill="auto"/>
            <w:vAlign w:val="bottom"/>
          </w:tcPr>
          <w:p w14:paraId="6B9ADBE8" w14:textId="0444AEF7"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13.6%</w:t>
            </w:r>
          </w:p>
        </w:tc>
        <w:tc>
          <w:tcPr>
            <w:tcW w:w="992" w:type="dxa"/>
            <w:vAlign w:val="bottom"/>
          </w:tcPr>
          <w:p w14:paraId="004D14FA" w14:textId="051CCCE6" w:rsidR="002D6E41" w:rsidRPr="00C6640C" w:rsidRDefault="002D6E41" w:rsidP="002E55EE">
            <w:pPr>
              <w:spacing w:after="0" w:line="240" w:lineRule="auto"/>
              <w:jc w:val="right"/>
              <w:rPr>
                <w:rFonts w:cstheme="minorHAnsi"/>
                <w:sz w:val="22"/>
                <w:szCs w:val="22"/>
              </w:rPr>
            </w:pPr>
            <w:r w:rsidRPr="00C6640C">
              <w:rPr>
                <w:rFonts w:cs="Arial"/>
                <w:sz w:val="22"/>
                <w:szCs w:val="22"/>
              </w:rPr>
              <w:t>1938</w:t>
            </w:r>
          </w:p>
        </w:tc>
        <w:tc>
          <w:tcPr>
            <w:tcW w:w="941" w:type="dxa"/>
            <w:vAlign w:val="bottom"/>
          </w:tcPr>
          <w:p w14:paraId="2C95DFB6" w14:textId="3CED51D2" w:rsidR="002D6E41" w:rsidRPr="00C6640C" w:rsidRDefault="002D6E41" w:rsidP="002E55EE">
            <w:pPr>
              <w:spacing w:after="0" w:line="240" w:lineRule="auto"/>
              <w:jc w:val="right"/>
              <w:rPr>
                <w:rFonts w:cstheme="minorHAnsi"/>
                <w:sz w:val="22"/>
                <w:szCs w:val="22"/>
              </w:rPr>
            </w:pPr>
            <w:r w:rsidRPr="00C6640C">
              <w:rPr>
                <w:rFonts w:cs="Arial"/>
                <w:sz w:val="22"/>
                <w:szCs w:val="22"/>
              </w:rPr>
              <w:t>13.6%</w:t>
            </w:r>
          </w:p>
        </w:tc>
      </w:tr>
      <w:tr w:rsidR="00C6640C" w:rsidRPr="007349F8" w14:paraId="1D1A69A1" w14:textId="0CB41912" w:rsidTr="00C6640C">
        <w:trPr>
          <w:trHeight w:val="290"/>
        </w:trPr>
        <w:tc>
          <w:tcPr>
            <w:tcW w:w="2830" w:type="dxa"/>
            <w:shd w:val="clear" w:color="auto" w:fill="auto"/>
            <w:noWrap/>
            <w:vAlign w:val="bottom"/>
          </w:tcPr>
          <w:p w14:paraId="55134ACA" w14:textId="59F8E9FC" w:rsidR="002D6E41" w:rsidRPr="002D6E41" w:rsidRDefault="002D6E41" w:rsidP="002D6E41">
            <w:pPr>
              <w:spacing w:after="0" w:line="240" w:lineRule="auto"/>
              <w:rPr>
                <w:rFonts w:eastAsia="Times New Roman" w:cstheme="minorHAnsi"/>
                <w:color w:val="000000"/>
                <w:sz w:val="22"/>
                <w:szCs w:val="22"/>
                <w:lang w:eastAsia="en-GB"/>
              </w:rPr>
            </w:pPr>
            <w:r w:rsidRPr="002D6E41">
              <w:rPr>
                <w:rFonts w:cstheme="minorHAnsi"/>
                <w:sz w:val="22"/>
                <w:szCs w:val="22"/>
              </w:rPr>
              <w:t>Learning disability</w:t>
            </w:r>
          </w:p>
        </w:tc>
        <w:tc>
          <w:tcPr>
            <w:tcW w:w="1134" w:type="dxa"/>
            <w:shd w:val="clear" w:color="auto" w:fill="auto"/>
            <w:noWrap/>
            <w:vAlign w:val="bottom"/>
          </w:tcPr>
          <w:p w14:paraId="602919DF" w14:textId="3D35417D"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106</w:t>
            </w:r>
          </w:p>
        </w:tc>
        <w:tc>
          <w:tcPr>
            <w:tcW w:w="1134" w:type="dxa"/>
            <w:shd w:val="clear" w:color="auto" w:fill="auto"/>
            <w:vAlign w:val="bottom"/>
          </w:tcPr>
          <w:p w14:paraId="23D26ED5" w14:textId="3F1E2330"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2.5%</w:t>
            </w:r>
          </w:p>
        </w:tc>
        <w:tc>
          <w:tcPr>
            <w:tcW w:w="993" w:type="dxa"/>
            <w:shd w:val="clear" w:color="auto" w:fill="auto"/>
            <w:noWrap/>
            <w:vAlign w:val="bottom"/>
          </w:tcPr>
          <w:p w14:paraId="5AF2ADA8" w14:textId="0238CCEC"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373</w:t>
            </w:r>
          </w:p>
        </w:tc>
        <w:tc>
          <w:tcPr>
            <w:tcW w:w="992" w:type="dxa"/>
            <w:shd w:val="clear" w:color="auto" w:fill="auto"/>
            <w:vAlign w:val="bottom"/>
          </w:tcPr>
          <w:p w14:paraId="2AFCDC6D" w14:textId="581A1D19"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3.7%</w:t>
            </w:r>
          </w:p>
        </w:tc>
        <w:tc>
          <w:tcPr>
            <w:tcW w:w="992" w:type="dxa"/>
            <w:vAlign w:val="bottom"/>
          </w:tcPr>
          <w:p w14:paraId="0003FDB5" w14:textId="7768BCF4" w:rsidR="002D6E41" w:rsidRPr="00C6640C" w:rsidRDefault="002D6E41" w:rsidP="002E55EE">
            <w:pPr>
              <w:spacing w:after="0" w:line="240" w:lineRule="auto"/>
              <w:jc w:val="right"/>
              <w:rPr>
                <w:rFonts w:cstheme="minorHAnsi"/>
                <w:sz w:val="22"/>
                <w:szCs w:val="22"/>
              </w:rPr>
            </w:pPr>
            <w:r w:rsidRPr="00C6640C">
              <w:rPr>
                <w:rFonts w:cs="Arial"/>
                <w:sz w:val="22"/>
                <w:szCs w:val="22"/>
              </w:rPr>
              <w:t>479</w:t>
            </w:r>
          </w:p>
        </w:tc>
        <w:tc>
          <w:tcPr>
            <w:tcW w:w="941" w:type="dxa"/>
            <w:vAlign w:val="bottom"/>
          </w:tcPr>
          <w:p w14:paraId="743273BE" w14:textId="0825CA6A" w:rsidR="002D6E41" w:rsidRPr="00C6640C" w:rsidRDefault="002D6E41" w:rsidP="002E55EE">
            <w:pPr>
              <w:spacing w:after="0" w:line="240" w:lineRule="auto"/>
              <w:jc w:val="right"/>
              <w:rPr>
                <w:rFonts w:cstheme="minorHAnsi"/>
                <w:sz w:val="22"/>
                <w:szCs w:val="22"/>
              </w:rPr>
            </w:pPr>
            <w:r w:rsidRPr="00C6640C">
              <w:rPr>
                <w:rFonts w:cs="Arial"/>
                <w:sz w:val="22"/>
                <w:szCs w:val="22"/>
              </w:rPr>
              <w:t>3.4%</w:t>
            </w:r>
          </w:p>
        </w:tc>
      </w:tr>
      <w:tr w:rsidR="00C6640C" w:rsidRPr="007349F8" w14:paraId="7FE4AEFC" w14:textId="4E8F46AB" w:rsidTr="00C6640C">
        <w:trPr>
          <w:trHeight w:val="290"/>
        </w:trPr>
        <w:tc>
          <w:tcPr>
            <w:tcW w:w="2830" w:type="dxa"/>
            <w:shd w:val="clear" w:color="auto" w:fill="auto"/>
            <w:noWrap/>
            <w:vAlign w:val="bottom"/>
          </w:tcPr>
          <w:p w14:paraId="195319C9" w14:textId="7CDB3E18" w:rsidR="002D6E41" w:rsidRPr="002D6E41" w:rsidRDefault="002D6E41" w:rsidP="002D6E41">
            <w:pPr>
              <w:spacing w:after="0" w:line="240" w:lineRule="auto"/>
              <w:rPr>
                <w:rFonts w:eastAsia="Times New Roman" w:cstheme="minorHAnsi"/>
                <w:color w:val="000000"/>
                <w:sz w:val="22"/>
                <w:szCs w:val="22"/>
                <w:lang w:eastAsia="en-GB"/>
              </w:rPr>
            </w:pPr>
            <w:r w:rsidRPr="002D6E41">
              <w:rPr>
                <w:rFonts w:cstheme="minorHAnsi"/>
                <w:sz w:val="22"/>
                <w:szCs w:val="22"/>
              </w:rPr>
              <w:t>Physical disability or illness</w:t>
            </w:r>
          </w:p>
        </w:tc>
        <w:tc>
          <w:tcPr>
            <w:tcW w:w="1134" w:type="dxa"/>
            <w:shd w:val="clear" w:color="auto" w:fill="auto"/>
            <w:noWrap/>
            <w:vAlign w:val="bottom"/>
          </w:tcPr>
          <w:p w14:paraId="2410F4C2" w14:textId="01EA12C9"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96</w:t>
            </w:r>
          </w:p>
        </w:tc>
        <w:tc>
          <w:tcPr>
            <w:tcW w:w="1134" w:type="dxa"/>
            <w:shd w:val="clear" w:color="auto" w:fill="auto"/>
            <w:vAlign w:val="bottom"/>
          </w:tcPr>
          <w:p w14:paraId="398A8DEB" w14:textId="0BDF6A6F"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2.3%</w:t>
            </w:r>
          </w:p>
        </w:tc>
        <w:tc>
          <w:tcPr>
            <w:tcW w:w="993" w:type="dxa"/>
            <w:shd w:val="clear" w:color="auto" w:fill="auto"/>
            <w:noWrap/>
            <w:vAlign w:val="bottom"/>
          </w:tcPr>
          <w:p w14:paraId="1373493D" w14:textId="1502EDC2"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338</w:t>
            </w:r>
          </w:p>
        </w:tc>
        <w:tc>
          <w:tcPr>
            <w:tcW w:w="992" w:type="dxa"/>
            <w:shd w:val="clear" w:color="auto" w:fill="auto"/>
            <w:vAlign w:val="bottom"/>
          </w:tcPr>
          <w:p w14:paraId="48CD6CF8" w14:textId="2C67F63F"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3.3%</w:t>
            </w:r>
          </w:p>
        </w:tc>
        <w:tc>
          <w:tcPr>
            <w:tcW w:w="992" w:type="dxa"/>
            <w:vAlign w:val="bottom"/>
          </w:tcPr>
          <w:p w14:paraId="1A458F8C" w14:textId="2CD2FC08" w:rsidR="002D6E41" w:rsidRPr="00C6640C" w:rsidRDefault="002D6E41" w:rsidP="002E55EE">
            <w:pPr>
              <w:spacing w:after="0" w:line="240" w:lineRule="auto"/>
              <w:jc w:val="right"/>
              <w:rPr>
                <w:rFonts w:cstheme="minorHAnsi"/>
                <w:sz w:val="22"/>
                <w:szCs w:val="22"/>
              </w:rPr>
            </w:pPr>
            <w:r w:rsidRPr="00C6640C">
              <w:rPr>
                <w:rFonts w:cs="Arial"/>
                <w:sz w:val="22"/>
                <w:szCs w:val="22"/>
              </w:rPr>
              <w:t>434</w:t>
            </w:r>
          </w:p>
        </w:tc>
        <w:tc>
          <w:tcPr>
            <w:tcW w:w="941" w:type="dxa"/>
            <w:vAlign w:val="bottom"/>
          </w:tcPr>
          <w:p w14:paraId="6996F7B1" w14:textId="351B893C" w:rsidR="002D6E41" w:rsidRPr="00C6640C" w:rsidRDefault="002D6E41" w:rsidP="002E55EE">
            <w:pPr>
              <w:spacing w:after="0" w:line="240" w:lineRule="auto"/>
              <w:jc w:val="right"/>
              <w:rPr>
                <w:rFonts w:cstheme="minorHAnsi"/>
                <w:sz w:val="22"/>
                <w:szCs w:val="22"/>
              </w:rPr>
            </w:pPr>
            <w:r w:rsidRPr="00C6640C">
              <w:rPr>
                <w:rFonts w:cs="Arial"/>
                <w:sz w:val="22"/>
                <w:szCs w:val="22"/>
              </w:rPr>
              <w:t>3.0%</w:t>
            </w:r>
          </w:p>
        </w:tc>
      </w:tr>
      <w:tr w:rsidR="00C6640C" w:rsidRPr="007349F8" w14:paraId="4018EFCE" w14:textId="5FA93EE1" w:rsidTr="00C6640C">
        <w:trPr>
          <w:trHeight w:val="290"/>
        </w:trPr>
        <w:tc>
          <w:tcPr>
            <w:tcW w:w="2830" w:type="dxa"/>
            <w:shd w:val="clear" w:color="auto" w:fill="auto"/>
            <w:noWrap/>
            <w:vAlign w:val="bottom"/>
          </w:tcPr>
          <w:p w14:paraId="0319EB38" w14:textId="2B5EA41F" w:rsidR="002D6E41" w:rsidRPr="002D6E41" w:rsidRDefault="002D6E41" w:rsidP="002D6E41">
            <w:pPr>
              <w:spacing w:after="0" w:line="240" w:lineRule="auto"/>
              <w:rPr>
                <w:rFonts w:eastAsia="Times New Roman" w:cstheme="minorHAnsi"/>
                <w:color w:val="000000"/>
                <w:sz w:val="22"/>
                <w:szCs w:val="22"/>
                <w:lang w:eastAsia="en-GB"/>
              </w:rPr>
            </w:pPr>
            <w:r w:rsidRPr="002D6E41">
              <w:rPr>
                <w:rFonts w:cstheme="minorHAnsi"/>
                <w:sz w:val="22"/>
                <w:szCs w:val="22"/>
              </w:rPr>
              <w:t>Young carer</w:t>
            </w:r>
          </w:p>
        </w:tc>
        <w:tc>
          <w:tcPr>
            <w:tcW w:w="1134" w:type="dxa"/>
            <w:shd w:val="clear" w:color="auto" w:fill="auto"/>
            <w:noWrap/>
            <w:vAlign w:val="bottom"/>
          </w:tcPr>
          <w:p w14:paraId="14616597" w14:textId="68CAF132"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21</w:t>
            </w:r>
          </w:p>
        </w:tc>
        <w:tc>
          <w:tcPr>
            <w:tcW w:w="1134" w:type="dxa"/>
            <w:shd w:val="clear" w:color="auto" w:fill="auto"/>
            <w:vAlign w:val="bottom"/>
          </w:tcPr>
          <w:p w14:paraId="778305B5" w14:textId="4C93E8A3"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0.5%</w:t>
            </w:r>
          </w:p>
        </w:tc>
        <w:tc>
          <w:tcPr>
            <w:tcW w:w="993" w:type="dxa"/>
            <w:shd w:val="clear" w:color="auto" w:fill="auto"/>
            <w:noWrap/>
            <w:vAlign w:val="bottom"/>
          </w:tcPr>
          <w:p w14:paraId="787ED5E7" w14:textId="615092B9"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99</w:t>
            </w:r>
          </w:p>
        </w:tc>
        <w:tc>
          <w:tcPr>
            <w:tcW w:w="992" w:type="dxa"/>
            <w:shd w:val="clear" w:color="auto" w:fill="auto"/>
            <w:vAlign w:val="bottom"/>
          </w:tcPr>
          <w:p w14:paraId="34E10783" w14:textId="6B19B76B"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1.0%</w:t>
            </w:r>
          </w:p>
        </w:tc>
        <w:tc>
          <w:tcPr>
            <w:tcW w:w="992" w:type="dxa"/>
            <w:vAlign w:val="bottom"/>
          </w:tcPr>
          <w:p w14:paraId="268BD19D" w14:textId="7C6CA3D3" w:rsidR="002D6E41" w:rsidRPr="00C6640C" w:rsidRDefault="002D6E41" w:rsidP="002E55EE">
            <w:pPr>
              <w:spacing w:after="0" w:line="240" w:lineRule="auto"/>
              <w:jc w:val="right"/>
              <w:rPr>
                <w:rFonts w:cstheme="minorHAnsi"/>
                <w:sz w:val="22"/>
                <w:szCs w:val="22"/>
              </w:rPr>
            </w:pPr>
            <w:r w:rsidRPr="00C6640C">
              <w:rPr>
                <w:rFonts w:cs="Arial"/>
                <w:sz w:val="22"/>
                <w:szCs w:val="22"/>
              </w:rPr>
              <w:t>120</w:t>
            </w:r>
          </w:p>
        </w:tc>
        <w:tc>
          <w:tcPr>
            <w:tcW w:w="941" w:type="dxa"/>
            <w:vAlign w:val="bottom"/>
          </w:tcPr>
          <w:p w14:paraId="7ADE280F" w14:textId="6ED5DE78" w:rsidR="002D6E41" w:rsidRPr="00C6640C" w:rsidRDefault="002D6E41" w:rsidP="002E55EE">
            <w:pPr>
              <w:spacing w:after="0" w:line="240" w:lineRule="auto"/>
              <w:jc w:val="right"/>
              <w:rPr>
                <w:rFonts w:cstheme="minorHAnsi"/>
                <w:sz w:val="22"/>
                <w:szCs w:val="22"/>
              </w:rPr>
            </w:pPr>
            <w:r w:rsidRPr="00C6640C">
              <w:rPr>
                <w:rFonts w:cs="Arial"/>
                <w:sz w:val="22"/>
                <w:szCs w:val="22"/>
              </w:rPr>
              <w:t>0.8%</w:t>
            </w:r>
          </w:p>
        </w:tc>
      </w:tr>
      <w:tr w:rsidR="00C6640C" w:rsidRPr="007349F8" w14:paraId="4CB0DC3E" w14:textId="37B3BDFD" w:rsidTr="00C6640C">
        <w:trPr>
          <w:trHeight w:val="290"/>
        </w:trPr>
        <w:tc>
          <w:tcPr>
            <w:tcW w:w="2830" w:type="dxa"/>
            <w:shd w:val="clear" w:color="auto" w:fill="auto"/>
            <w:noWrap/>
            <w:vAlign w:val="bottom"/>
          </w:tcPr>
          <w:p w14:paraId="17B4998A" w14:textId="549E7982" w:rsidR="002D6E41" w:rsidRPr="002D6E41" w:rsidRDefault="002D6E41" w:rsidP="002D6E41">
            <w:pPr>
              <w:spacing w:after="0" w:line="240" w:lineRule="auto"/>
              <w:rPr>
                <w:rFonts w:eastAsia="Times New Roman" w:cstheme="minorHAnsi"/>
                <w:color w:val="000000"/>
                <w:sz w:val="22"/>
                <w:szCs w:val="22"/>
                <w:lang w:eastAsia="en-GB"/>
              </w:rPr>
            </w:pPr>
            <w:r w:rsidRPr="002D6E41">
              <w:rPr>
                <w:rFonts w:cstheme="minorHAnsi"/>
                <w:sz w:val="22"/>
                <w:szCs w:val="22"/>
              </w:rPr>
              <w:t>Abuse or neglect</w:t>
            </w:r>
          </w:p>
        </w:tc>
        <w:tc>
          <w:tcPr>
            <w:tcW w:w="1134" w:type="dxa"/>
            <w:shd w:val="clear" w:color="auto" w:fill="auto"/>
            <w:noWrap/>
            <w:vAlign w:val="bottom"/>
          </w:tcPr>
          <w:p w14:paraId="06730599" w14:textId="5EA850F5"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911</w:t>
            </w:r>
          </w:p>
        </w:tc>
        <w:tc>
          <w:tcPr>
            <w:tcW w:w="1134" w:type="dxa"/>
            <w:shd w:val="clear" w:color="auto" w:fill="auto"/>
            <w:vAlign w:val="bottom"/>
          </w:tcPr>
          <w:p w14:paraId="05AA767C" w14:textId="7A36B3F2"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21.9%</w:t>
            </w:r>
          </w:p>
        </w:tc>
        <w:tc>
          <w:tcPr>
            <w:tcW w:w="993" w:type="dxa"/>
            <w:shd w:val="clear" w:color="auto" w:fill="auto"/>
            <w:noWrap/>
            <w:vAlign w:val="bottom"/>
          </w:tcPr>
          <w:p w14:paraId="7790137D" w14:textId="1FA24F2A"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1953</w:t>
            </w:r>
          </w:p>
        </w:tc>
        <w:tc>
          <w:tcPr>
            <w:tcW w:w="992" w:type="dxa"/>
            <w:shd w:val="clear" w:color="auto" w:fill="auto"/>
            <w:vAlign w:val="bottom"/>
          </w:tcPr>
          <w:p w14:paraId="6D489533" w14:textId="30C3C8AA"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19.3%</w:t>
            </w:r>
          </w:p>
        </w:tc>
        <w:tc>
          <w:tcPr>
            <w:tcW w:w="992" w:type="dxa"/>
            <w:vAlign w:val="bottom"/>
          </w:tcPr>
          <w:p w14:paraId="461605F3" w14:textId="1DC49583" w:rsidR="002D6E41" w:rsidRPr="00C6640C" w:rsidRDefault="002D6E41" w:rsidP="002E55EE">
            <w:pPr>
              <w:spacing w:after="0" w:line="240" w:lineRule="auto"/>
              <w:jc w:val="right"/>
              <w:rPr>
                <w:rFonts w:cstheme="minorHAnsi"/>
                <w:sz w:val="22"/>
                <w:szCs w:val="22"/>
              </w:rPr>
            </w:pPr>
            <w:r w:rsidRPr="00C6640C">
              <w:rPr>
                <w:rFonts w:cs="Arial"/>
                <w:sz w:val="22"/>
                <w:szCs w:val="22"/>
              </w:rPr>
              <w:t>2864</w:t>
            </w:r>
          </w:p>
        </w:tc>
        <w:tc>
          <w:tcPr>
            <w:tcW w:w="941" w:type="dxa"/>
            <w:vAlign w:val="bottom"/>
          </w:tcPr>
          <w:p w14:paraId="058C542D" w14:textId="19A87611" w:rsidR="002D6E41" w:rsidRPr="00C6640C" w:rsidRDefault="002D6E41" w:rsidP="002E55EE">
            <w:pPr>
              <w:spacing w:after="0" w:line="240" w:lineRule="auto"/>
              <w:jc w:val="right"/>
              <w:rPr>
                <w:rFonts w:cstheme="minorHAnsi"/>
                <w:sz w:val="22"/>
                <w:szCs w:val="22"/>
              </w:rPr>
            </w:pPr>
            <w:r w:rsidRPr="00C6640C">
              <w:rPr>
                <w:rFonts w:cs="Arial"/>
                <w:sz w:val="22"/>
                <w:szCs w:val="22"/>
              </w:rPr>
              <w:t>20.0%</w:t>
            </w:r>
          </w:p>
        </w:tc>
      </w:tr>
      <w:tr w:rsidR="00C6640C" w:rsidRPr="007349F8" w14:paraId="6744A57C" w14:textId="7385FDD7" w:rsidTr="00C6640C">
        <w:trPr>
          <w:trHeight w:val="290"/>
        </w:trPr>
        <w:tc>
          <w:tcPr>
            <w:tcW w:w="2830" w:type="dxa"/>
            <w:shd w:val="clear" w:color="auto" w:fill="auto"/>
            <w:noWrap/>
            <w:vAlign w:val="bottom"/>
          </w:tcPr>
          <w:p w14:paraId="37FE0EB7" w14:textId="61F5E365" w:rsidR="002D6E41" w:rsidRPr="002D6E41" w:rsidRDefault="002D6E41" w:rsidP="002D6E41">
            <w:pPr>
              <w:spacing w:after="0" w:line="240" w:lineRule="auto"/>
              <w:rPr>
                <w:rFonts w:eastAsia="Times New Roman" w:cstheme="minorHAnsi"/>
                <w:color w:val="000000"/>
                <w:sz w:val="22"/>
                <w:szCs w:val="22"/>
                <w:lang w:eastAsia="en-GB"/>
              </w:rPr>
            </w:pPr>
            <w:r w:rsidRPr="002D6E41">
              <w:rPr>
                <w:rFonts w:cstheme="minorHAnsi"/>
                <w:sz w:val="22"/>
                <w:szCs w:val="22"/>
              </w:rPr>
              <w:t>Other</w:t>
            </w:r>
          </w:p>
        </w:tc>
        <w:tc>
          <w:tcPr>
            <w:tcW w:w="1134" w:type="dxa"/>
            <w:shd w:val="clear" w:color="auto" w:fill="auto"/>
            <w:noWrap/>
            <w:vAlign w:val="bottom"/>
          </w:tcPr>
          <w:p w14:paraId="2887544E" w14:textId="31217807"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233</w:t>
            </w:r>
          </w:p>
        </w:tc>
        <w:tc>
          <w:tcPr>
            <w:tcW w:w="1134" w:type="dxa"/>
            <w:shd w:val="clear" w:color="auto" w:fill="auto"/>
            <w:vAlign w:val="bottom"/>
          </w:tcPr>
          <w:p w14:paraId="6AB9F54C" w14:textId="6C067251"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5.6%</w:t>
            </w:r>
          </w:p>
        </w:tc>
        <w:tc>
          <w:tcPr>
            <w:tcW w:w="993" w:type="dxa"/>
            <w:shd w:val="clear" w:color="auto" w:fill="auto"/>
            <w:noWrap/>
            <w:vAlign w:val="bottom"/>
          </w:tcPr>
          <w:p w14:paraId="7B0450F4" w14:textId="4E5C7C18"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1298</w:t>
            </w:r>
          </w:p>
        </w:tc>
        <w:tc>
          <w:tcPr>
            <w:tcW w:w="992" w:type="dxa"/>
            <w:shd w:val="clear" w:color="auto" w:fill="auto"/>
            <w:vAlign w:val="bottom"/>
          </w:tcPr>
          <w:p w14:paraId="6FA29381" w14:textId="4D11897F"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12.8%</w:t>
            </w:r>
          </w:p>
        </w:tc>
        <w:tc>
          <w:tcPr>
            <w:tcW w:w="992" w:type="dxa"/>
            <w:vAlign w:val="bottom"/>
          </w:tcPr>
          <w:p w14:paraId="4ED93F47" w14:textId="6EC63BD8" w:rsidR="002D6E41" w:rsidRPr="00C6640C" w:rsidRDefault="002D6E41" w:rsidP="002E55EE">
            <w:pPr>
              <w:spacing w:after="0" w:line="240" w:lineRule="auto"/>
              <w:jc w:val="right"/>
              <w:rPr>
                <w:rFonts w:cstheme="minorHAnsi"/>
                <w:sz w:val="22"/>
                <w:szCs w:val="22"/>
              </w:rPr>
            </w:pPr>
            <w:r w:rsidRPr="00C6640C">
              <w:rPr>
                <w:rFonts w:cs="Arial"/>
                <w:sz w:val="22"/>
                <w:szCs w:val="22"/>
              </w:rPr>
              <w:t>1531</w:t>
            </w:r>
          </w:p>
        </w:tc>
        <w:tc>
          <w:tcPr>
            <w:tcW w:w="941" w:type="dxa"/>
            <w:vAlign w:val="bottom"/>
          </w:tcPr>
          <w:p w14:paraId="7668037C" w14:textId="45F2CD39" w:rsidR="002D6E41" w:rsidRPr="00C6640C" w:rsidRDefault="002D6E41" w:rsidP="002E55EE">
            <w:pPr>
              <w:spacing w:after="0" w:line="240" w:lineRule="auto"/>
              <w:jc w:val="right"/>
              <w:rPr>
                <w:rFonts w:cstheme="minorHAnsi"/>
                <w:sz w:val="22"/>
                <w:szCs w:val="22"/>
              </w:rPr>
            </w:pPr>
            <w:r w:rsidRPr="00C6640C">
              <w:rPr>
                <w:rFonts w:cs="Arial"/>
                <w:sz w:val="22"/>
                <w:szCs w:val="22"/>
              </w:rPr>
              <w:t>10.7%</w:t>
            </w:r>
          </w:p>
        </w:tc>
      </w:tr>
      <w:tr w:rsidR="00C6640C" w:rsidRPr="007349F8" w14:paraId="1D92E3D4" w14:textId="0F5A98EC" w:rsidTr="00C6640C">
        <w:trPr>
          <w:trHeight w:val="290"/>
        </w:trPr>
        <w:tc>
          <w:tcPr>
            <w:tcW w:w="2830" w:type="dxa"/>
            <w:shd w:val="clear" w:color="auto" w:fill="auto"/>
            <w:noWrap/>
            <w:vAlign w:val="bottom"/>
          </w:tcPr>
          <w:p w14:paraId="4F8D8174" w14:textId="34D4B2BE" w:rsidR="002D6E41" w:rsidRPr="002D6E41" w:rsidRDefault="002D6E41" w:rsidP="002D6E41">
            <w:pPr>
              <w:spacing w:after="0" w:line="240" w:lineRule="auto"/>
              <w:rPr>
                <w:rFonts w:eastAsia="Times New Roman" w:cstheme="minorHAnsi"/>
                <w:b/>
                <w:bCs/>
                <w:color w:val="000000"/>
                <w:sz w:val="22"/>
                <w:szCs w:val="22"/>
                <w:lang w:eastAsia="en-GB"/>
              </w:rPr>
            </w:pPr>
            <w:r w:rsidRPr="002D6E41">
              <w:rPr>
                <w:rFonts w:cstheme="minorHAnsi"/>
                <w:sz w:val="22"/>
                <w:szCs w:val="22"/>
              </w:rPr>
              <w:t>No factors identified</w:t>
            </w:r>
          </w:p>
        </w:tc>
        <w:tc>
          <w:tcPr>
            <w:tcW w:w="1134" w:type="dxa"/>
            <w:shd w:val="clear" w:color="auto" w:fill="auto"/>
            <w:noWrap/>
            <w:vAlign w:val="bottom"/>
          </w:tcPr>
          <w:p w14:paraId="02AC1F34" w14:textId="5ED9E230" w:rsidR="002D6E41" w:rsidRPr="002D6E41" w:rsidRDefault="002D6E41" w:rsidP="002E55EE">
            <w:pPr>
              <w:spacing w:after="0" w:line="240" w:lineRule="auto"/>
              <w:jc w:val="right"/>
              <w:rPr>
                <w:rFonts w:eastAsia="Times New Roman" w:cstheme="minorHAnsi"/>
                <w:b/>
                <w:bCs/>
                <w:color w:val="000000"/>
                <w:sz w:val="22"/>
                <w:szCs w:val="22"/>
                <w:lang w:eastAsia="en-GB"/>
              </w:rPr>
            </w:pPr>
            <w:r w:rsidRPr="002D6E41">
              <w:rPr>
                <w:rFonts w:cstheme="minorHAnsi"/>
                <w:sz w:val="22"/>
                <w:szCs w:val="22"/>
              </w:rPr>
              <w:t>595</w:t>
            </w:r>
          </w:p>
        </w:tc>
        <w:tc>
          <w:tcPr>
            <w:tcW w:w="1134" w:type="dxa"/>
            <w:shd w:val="clear" w:color="auto" w:fill="auto"/>
            <w:vAlign w:val="bottom"/>
          </w:tcPr>
          <w:p w14:paraId="2035BC20" w14:textId="67C729FF"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14.3%</w:t>
            </w:r>
          </w:p>
        </w:tc>
        <w:tc>
          <w:tcPr>
            <w:tcW w:w="993" w:type="dxa"/>
            <w:shd w:val="clear" w:color="auto" w:fill="auto"/>
            <w:noWrap/>
            <w:vAlign w:val="bottom"/>
          </w:tcPr>
          <w:p w14:paraId="487ECDE0" w14:textId="5EA2FE51" w:rsidR="002D6E41" w:rsidRPr="002D6E41" w:rsidRDefault="002D6E41" w:rsidP="002E55EE">
            <w:pPr>
              <w:spacing w:after="0" w:line="240" w:lineRule="auto"/>
              <w:jc w:val="right"/>
              <w:rPr>
                <w:rFonts w:eastAsia="Times New Roman" w:cstheme="minorHAnsi"/>
                <w:b/>
                <w:bCs/>
                <w:color w:val="000000"/>
                <w:sz w:val="22"/>
                <w:szCs w:val="22"/>
                <w:lang w:eastAsia="en-GB"/>
              </w:rPr>
            </w:pPr>
            <w:r w:rsidRPr="002D6E41">
              <w:rPr>
                <w:rFonts w:cstheme="minorHAnsi"/>
                <w:sz w:val="22"/>
                <w:szCs w:val="22"/>
              </w:rPr>
              <w:t>1425</w:t>
            </w:r>
          </w:p>
        </w:tc>
        <w:tc>
          <w:tcPr>
            <w:tcW w:w="992" w:type="dxa"/>
            <w:shd w:val="clear" w:color="auto" w:fill="auto"/>
            <w:vAlign w:val="bottom"/>
          </w:tcPr>
          <w:p w14:paraId="43ACE856" w14:textId="2E034BBC" w:rsidR="002D6E41" w:rsidRPr="002D6E41" w:rsidRDefault="002D6E41" w:rsidP="002E55EE">
            <w:pPr>
              <w:spacing w:after="0" w:line="240" w:lineRule="auto"/>
              <w:jc w:val="right"/>
              <w:rPr>
                <w:rFonts w:eastAsia="Times New Roman" w:cstheme="minorHAnsi"/>
                <w:color w:val="000000"/>
                <w:sz w:val="22"/>
                <w:szCs w:val="22"/>
                <w:lang w:eastAsia="en-GB"/>
              </w:rPr>
            </w:pPr>
            <w:r w:rsidRPr="002D6E41">
              <w:rPr>
                <w:rFonts w:cstheme="minorHAnsi"/>
                <w:sz w:val="22"/>
                <w:szCs w:val="22"/>
              </w:rPr>
              <w:t>14.1%</w:t>
            </w:r>
          </w:p>
        </w:tc>
        <w:tc>
          <w:tcPr>
            <w:tcW w:w="992" w:type="dxa"/>
            <w:vAlign w:val="bottom"/>
          </w:tcPr>
          <w:p w14:paraId="3E78DFB1" w14:textId="0EB7D203" w:rsidR="002D6E41" w:rsidRPr="00C6640C" w:rsidRDefault="002D6E41" w:rsidP="002E55EE">
            <w:pPr>
              <w:spacing w:after="0" w:line="240" w:lineRule="auto"/>
              <w:jc w:val="right"/>
              <w:rPr>
                <w:rFonts w:cstheme="minorHAnsi"/>
                <w:sz w:val="22"/>
                <w:szCs w:val="22"/>
              </w:rPr>
            </w:pPr>
            <w:r w:rsidRPr="00C6640C">
              <w:rPr>
                <w:rFonts w:cs="Arial"/>
                <w:sz w:val="22"/>
                <w:szCs w:val="22"/>
              </w:rPr>
              <w:t>2020</w:t>
            </w:r>
          </w:p>
        </w:tc>
        <w:tc>
          <w:tcPr>
            <w:tcW w:w="941" w:type="dxa"/>
            <w:vAlign w:val="bottom"/>
          </w:tcPr>
          <w:p w14:paraId="21A9465D" w14:textId="3D006973" w:rsidR="002D6E41" w:rsidRPr="00C6640C" w:rsidRDefault="002D6E41" w:rsidP="002E55EE">
            <w:pPr>
              <w:spacing w:after="0" w:line="240" w:lineRule="auto"/>
              <w:jc w:val="right"/>
              <w:rPr>
                <w:rFonts w:cstheme="minorHAnsi"/>
                <w:sz w:val="22"/>
                <w:szCs w:val="22"/>
              </w:rPr>
            </w:pPr>
            <w:r w:rsidRPr="00C6640C">
              <w:rPr>
                <w:rFonts w:cs="Arial"/>
                <w:sz w:val="22"/>
                <w:szCs w:val="22"/>
              </w:rPr>
              <w:t>14.1%</w:t>
            </w:r>
          </w:p>
        </w:tc>
      </w:tr>
      <w:tr w:rsidR="00C6640C" w:rsidRPr="007349F8" w14:paraId="75032BDC" w14:textId="75FD3333" w:rsidTr="00C6640C">
        <w:trPr>
          <w:trHeight w:val="290"/>
        </w:trPr>
        <w:tc>
          <w:tcPr>
            <w:tcW w:w="2830" w:type="dxa"/>
            <w:shd w:val="clear" w:color="auto" w:fill="auto"/>
            <w:noWrap/>
            <w:vAlign w:val="bottom"/>
          </w:tcPr>
          <w:p w14:paraId="3B3D3179" w14:textId="0266562E" w:rsidR="002D6E41" w:rsidRPr="002D6E41" w:rsidRDefault="002D6E41" w:rsidP="002D6E41">
            <w:pPr>
              <w:spacing w:after="0" w:line="240" w:lineRule="auto"/>
              <w:rPr>
                <w:rFonts w:cstheme="minorHAnsi"/>
                <w:sz w:val="22"/>
                <w:szCs w:val="22"/>
              </w:rPr>
            </w:pPr>
            <w:r w:rsidRPr="002D6E41">
              <w:rPr>
                <w:rFonts w:cstheme="minorHAnsi"/>
                <w:sz w:val="22"/>
                <w:szCs w:val="22"/>
              </w:rPr>
              <w:t>Total</w:t>
            </w:r>
          </w:p>
        </w:tc>
        <w:tc>
          <w:tcPr>
            <w:tcW w:w="1134" w:type="dxa"/>
            <w:shd w:val="clear" w:color="auto" w:fill="auto"/>
            <w:noWrap/>
            <w:vAlign w:val="bottom"/>
          </w:tcPr>
          <w:p w14:paraId="359FB949" w14:textId="6A5B28BD" w:rsidR="002D6E41" w:rsidRPr="002D6E41" w:rsidRDefault="002D6E41" w:rsidP="002E55EE">
            <w:pPr>
              <w:spacing w:after="0" w:line="240" w:lineRule="auto"/>
              <w:jc w:val="right"/>
              <w:rPr>
                <w:rFonts w:eastAsia="Times New Roman" w:cstheme="minorHAnsi"/>
                <w:sz w:val="22"/>
                <w:szCs w:val="22"/>
              </w:rPr>
            </w:pPr>
            <w:r w:rsidRPr="002D6E41">
              <w:rPr>
                <w:rFonts w:cstheme="minorHAnsi"/>
                <w:sz w:val="22"/>
                <w:szCs w:val="22"/>
              </w:rPr>
              <w:t>4161</w:t>
            </w:r>
          </w:p>
        </w:tc>
        <w:tc>
          <w:tcPr>
            <w:tcW w:w="1134" w:type="dxa"/>
            <w:shd w:val="clear" w:color="auto" w:fill="auto"/>
            <w:vAlign w:val="bottom"/>
          </w:tcPr>
          <w:p w14:paraId="4B94068D" w14:textId="77777777" w:rsidR="002D6E41" w:rsidRPr="002D6E41" w:rsidRDefault="002D6E41" w:rsidP="002E55EE">
            <w:pPr>
              <w:spacing w:after="0" w:line="240" w:lineRule="auto"/>
              <w:jc w:val="right"/>
              <w:rPr>
                <w:rFonts w:cstheme="minorHAnsi"/>
                <w:sz w:val="22"/>
                <w:szCs w:val="22"/>
              </w:rPr>
            </w:pPr>
          </w:p>
        </w:tc>
        <w:tc>
          <w:tcPr>
            <w:tcW w:w="993" w:type="dxa"/>
            <w:shd w:val="clear" w:color="auto" w:fill="auto"/>
            <w:noWrap/>
            <w:vAlign w:val="bottom"/>
          </w:tcPr>
          <w:p w14:paraId="08CC31AF" w14:textId="0CEA2518" w:rsidR="002D6E41" w:rsidRPr="002D6E41" w:rsidRDefault="002D6E41" w:rsidP="002E55EE">
            <w:pPr>
              <w:spacing w:after="0" w:line="240" w:lineRule="auto"/>
              <w:jc w:val="right"/>
              <w:rPr>
                <w:rFonts w:eastAsia="Times New Roman" w:cstheme="minorHAnsi"/>
                <w:sz w:val="22"/>
                <w:szCs w:val="22"/>
              </w:rPr>
            </w:pPr>
            <w:r w:rsidRPr="002D6E41">
              <w:rPr>
                <w:rFonts w:cstheme="minorHAnsi"/>
                <w:sz w:val="22"/>
                <w:szCs w:val="22"/>
              </w:rPr>
              <w:t>10128</w:t>
            </w:r>
          </w:p>
        </w:tc>
        <w:tc>
          <w:tcPr>
            <w:tcW w:w="992" w:type="dxa"/>
            <w:shd w:val="clear" w:color="auto" w:fill="auto"/>
            <w:vAlign w:val="bottom"/>
          </w:tcPr>
          <w:p w14:paraId="1C9AAD9D" w14:textId="77777777" w:rsidR="002D6E41" w:rsidRPr="002D6E41" w:rsidRDefault="002D6E41" w:rsidP="002E55EE">
            <w:pPr>
              <w:spacing w:after="0" w:line="240" w:lineRule="auto"/>
              <w:jc w:val="right"/>
              <w:rPr>
                <w:rFonts w:cstheme="minorHAnsi"/>
                <w:sz w:val="22"/>
                <w:szCs w:val="22"/>
              </w:rPr>
            </w:pPr>
          </w:p>
        </w:tc>
        <w:tc>
          <w:tcPr>
            <w:tcW w:w="992" w:type="dxa"/>
            <w:vAlign w:val="bottom"/>
          </w:tcPr>
          <w:p w14:paraId="7D46956F" w14:textId="184515F8" w:rsidR="002D6E41" w:rsidRPr="00C6640C" w:rsidRDefault="002D6E41" w:rsidP="002E55EE">
            <w:pPr>
              <w:spacing w:after="0" w:line="240" w:lineRule="auto"/>
              <w:jc w:val="right"/>
              <w:rPr>
                <w:rFonts w:cstheme="minorHAnsi"/>
                <w:sz w:val="22"/>
                <w:szCs w:val="22"/>
              </w:rPr>
            </w:pPr>
            <w:r w:rsidRPr="00C6640C">
              <w:rPr>
                <w:rFonts w:cs="Arial"/>
                <w:sz w:val="22"/>
                <w:szCs w:val="22"/>
              </w:rPr>
              <w:t>14289</w:t>
            </w:r>
            <w:r w:rsidR="002E55EE">
              <w:rPr>
                <w:rFonts w:cs="Arial"/>
                <w:sz w:val="22"/>
                <w:szCs w:val="22"/>
              </w:rPr>
              <w:t>*</w:t>
            </w:r>
          </w:p>
        </w:tc>
        <w:tc>
          <w:tcPr>
            <w:tcW w:w="941" w:type="dxa"/>
            <w:vAlign w:val="bottom"/>
          </w:tcPr>
          <w:p w14:paraId="0DA22E6E" w14:textId="77777777" w:rsidR="002D6E41" w:rsidRPr="00C6640C" w:rsidRDefault="002D6E41" w:rsidP="002E55EE">
            <w:pPr>
              <w:spacing w:after="0" w:line="240" w:lineRule="auto"/>
              <w:jc w:val="right"/>
              <w:rPr>
                <w:rFonts w:cstheme="minorHAnsi"/>
                <w:sz w:val="22"/>
                <w:szCs w:val="22"/>
              </w:rPr>
            </w:pPr>
          </w:p>
        </w:tc>
      </w:tr>
    </w:tbl>
    <w:p w14:paraId="75172931" w14:textId="4BC0DD4B" w:rsidR="002D6E41" w:rsidRDefault="002D6E41" w:rsidP="008A1A40">
      <w:pPr>
        <w:rPr>
          <w:rFonts w:cs="Arial"/>
          <w:sz w:val="24"/>
          <w:szCs w:val="24"/>
        </w:rPr>
      </w:pPr>
      <w:r>
        <w:rPr>
          <w:color w:val="000000"/>
          <w:lang w:eastAsia="en-GB"/>
        </w:rPr>
        <w:t>*Excludes 681 unborns</w:t>
      </w:r>
    </w:p>
    <w:p w14:paraId="4DEEB5A5" w14:textId="7C62CB1E" w:rsidR="00003903" w:rsidRPr="00580BD2" w:rsidRDefault="008A1A40" w:rsidP="008A1A40">
      <w:pPr>
        <w:rPr>
          <w:rFonts w:cs="Arial"/>
          <w:b/>
          <w:sz w:val="24"/>
          <w:szCs w:val="24"/>
        </w:rPr>
      </w:pPr>
      <w:r w:rsidRPr="00580BD2">
        <w:rPr>
          <w:rFonts w:cs="Arial"/>
          <w:sz w:val="24"/>
          <w:szCs w:val="24"/>
        </w:rPr>
        <w:t>Source: Sandwell Children’s Trust</w:t>
      </w:r>
    </w:p>
    <w:p w14:paraId="244864FE" w14:textId="77777777" w:rsidR="002E55EE" w:rsidRDefault="002E55EE" w:rsidP="00003903">
      <w:pPr>
        <w:rPr>
          <w:rFonts w:cs="Arial"/>
          <w:b/>
          <w:sz w:val="24"/>
          <w:szCs w:val="24"/>
        </w:rPr>
      </w:pPr>
    </w:p>
    <w:p w14:paraId="59BB688F" w14:textId="54463411" w:rsidR="00003903" w:rsidRPr="00B66113" w:rsidRDefault="00003903" w:rsidP="00003903">
      <w:pPr>
        <w:rPr>
          <w:rFonts w:cs="Arial"/>
          <w:b/>
          <w:sz w:val="24"/>
          <w:szCs w:val="24"/>
        </w:rPr>
      </w:pPr>
      <w:r w:rsidRPr="00B66113">
        <w:rPr>
          <w:rFonts w:cs="Arial"/>
          <w:b/>
          <w:sz w:val="24"/>
          <w:szCs w:val="24"/>
        </w:rPr>
        <w:t>Table 3.</w:t>
      </w:r>
      <w:r w:rsidR="00D05BB1">
        <w:rPr>
          <w:rFonts w:cs="Arial"/>
          <w:b/>
          <w:sz w:val="24"/>
          <w:szCs w:val="24"/>
        </w:rPr>
        <w:t>5</w:t>
      </w:r>
      <w:r w:rsidRPr="00B66113">
        <w:rPr>
          <w:rFonts w:cs="Arial"/>
          <w:b/>
          <w:sz w:val="24"/>
          <w:szCs w:val="24"/>
        </w:rPr>
        <w:t>: Ethnic Group Breakdown of Children in Need (under 18s) - as at 3</w:t>
      </w:r>
      <w:r>
        <w:rPr>
          <w:rFonts w:cs="Arial"/>
          <w:b/>
          <w:sz w:val="24"/>
          <w:szCs w:val="24"/>
        </w:rPr>
        <w:t>1</w:t>
      </w:r>
      <w:r w:rsidRPr="00B66113">
        <w:rPr>
          <w:rFonts w:cs="Arial"/>
          <w:b/>
          <w:sz w:val="24"/>
          <w:szCs w:val="24"/>
        </w:rPr>
        <w:t>/</w:t>
      </w:r>
      <w:r>
        <w:rPr>
          <w:rFonts w:cs="Arial"/>
          <w:b/>
          <w:sz w:val="24"/>
          <w:szCs w:val="24"/>
        </w:rPr>
        <w:t>3</w:t>
      </w:r>
      <w:r w:rsidRPr="00B66113">
        <w:rPr>
          <w:rFonts w:cs="Arial"/>
          <w:b/>
          <w:sz w:val="24"/>
          <w:szCs w:val="24"/>
        </w:rPr>
        <w:t>/2019 (excluding Children in Care and CP Cases) with an open referral on ICS</w:t>
      </w:r>
    </w:p>
    <w:tbl>
      <w:tblPr>
        <w:tblW w:w="9400" w:type="dxa"/>
        <w:tblInd w:w="93" w:type="dxa"/>
        <w:tblLayout w:type="fixed"/>
        <w:tblLook w:val="04A0" w:firstRow="1" w:lastRow="0" w:firstColumn="1" w:lastColumn="0" w:noHBand="0" w:noVBand="1"/>
      </w:tblPr>
      <w:tblGrid>
        <w:gridCol w:w="4155"/>
        <w:gridCol w:w="1134"/>
        <w:gridCol w:w="1134"/>
        <w:gridCol w:w="1701"/>
        <w:gridCol w:w="1276"/>
      </w:tblGrid>
      <w:tr w:rsidR="001D7DAF" w:rsidRPr="00580BD2" w14:paraId="77F6CF38" w14:textId="77777777" w:rsidTr="001D7DAF">
        <w:trPr>
          <w:trHeight w:hRule="exact" w:val="680"/>
        </w:trPr>
        <w:tc>
          <w:tcPr>
            <w:tcW w:w="4155" w:type="dxa"/>
            <w:vMerge w:val="restart"/>
            <w:tcBorders>
              <w:top w:val="single" w:sz="4" w:space="0" w:color="00B050"/>
              <w:left w:val="single" w:sz="4" w:space="0" w:color="00B050"/>
              <w:right w:val="single" w:sz="4" w:space="0" w:color="00B050"/>
            </w:tcBorders>
            <w:shd w:val="clear" w:color="000000" w:fill="D9D9D9"/>
            <w:vAlign w:val="center"/>
          </w:tcPr>
          <w:p w14:paraId="52A15FA2" w14:textId="45AA8B3C" w:rsidR="001D7DAF" w:rsidRPr="00580BD2" w:rsidRDefault="001D7DAF" w:rsidP="001D7DAF">
            <w:pPr>
              <w:rPr>
                <w:rFonts w:cs="Arial"/>
                <w:sz w:val="24"/>
                <w:szCs w:val="24"/>
              </w:rPr>
            </w:pPr>
            <w:r w:rsidRPr="00580BD2">
              <w:rPr>
                <w:rFonts w:cs="Arial"/>
                <w:sz w:val="24"/>
                <w:szCs w:val="24"/>
              </w:rPr>
              <w:t>Ethnic Group</w:t>
            </w:r>
          </w:p>
        </w:tc>
        <w:tc>
          <w:tcPr>
            <w:tcW w:w="2268" w:type="dxa"/>
            <w:gridSpan w:val="2"/>
            <w:tcBorders>
              <w:top w:val="single" w:sz="4" w:space="0" w:color="00B050"/>
              <w:left w:val="nil"/>
              <w:bottom w:val="single" w:sz="4" w:space="0" w:color="00B050"/>
              <w:right w:val="single" w:sz="4" w:space="0" w:color="00B050"/>
            </w:tcBorders>
            <w:shd w:val="clear" w:color="000000" w:fill="D9D9D9"/>
            <w:vAlign w:val="center"/>
          </w:tcPr>
          <w:p w14:paraId="5D8E423E" w14:textId="6DDD16E4" w:rsidR="001D7DAF" w:rsidRPr="001D7DAF" w:rsidRDefault="001D7DAF" w:rsidP="001D7DAF">
            <w:pPr>
              <w:jc w:val="center"/>
              <w:rPr>
                <w:rFonts w:ascii="Calibri" w:hAnsi="Calibri" w:cs="Calibri"/>
                <w:color w:val="000000"/>
                <w:sz w:val="24"/>
                <w:szCs w:val="24"/>
              </w:rPr>
            </w:pPr>
            <w:r>
              <w:rPr>
                <w:rFonts w:cs="Arial"/>
                <w:sz w:val="24"/>
                <w:szCs w:val="24"/>
              </w:rPr>
              <w:t>Cases</w:t>
            </w:r>
          </w:p>
        </w:tc>
        <w:tc>
          <w:tcPr>
            <w:tcW w:w="2977" w:type="dxa"/>
            <w:gridSpan w:val="2"/>
            <w:tcBorders>
              <w:top w:val="single" w:sz="4" w:space="0" w:color="00B050"/>
              <w:left w:val="nil"/>
              <w:bottom w:val="single" w:sz="4" w:space="0" w:color="00B050"/>
              <w:right w:val="single" w:sz="4" w:space="0" w:color="00B050"/>
            </w:tcBorders>
            <w:shd w:val="clear" w:color="000000" w:fill="D9D9D9"/>
          </w:tcPr>
          <w:p w14:paraId="74E107D8" w14:textId="16880DC6" w:rsidR="001D7DAF" w:rsidRPr="001D7DAF" w:rsidRDefault="001D7DAF" w:rsidP="001D7DAF">
            <w:pPr>
              <w:jc w:val="center"/>
              <w:rPr>
                <w:rFonts w:ascii="Calibri" w:hAnsi="Calibri" w:cs="Calibri"/>
                <w:color w:val="000000"/>
                <w:sz w:val="24"/>
                <w:szCs w:val="24"/>
              </w:rPr>
            </w:pPr>
            <w:r>
              <w:rPr>
                <w:rFonts w:ascii="Calibri" w:hAnsi="Calibri" w:cs="Calibri"/>
                <w:color w:val="000000"/>
                <w:sz w:val="24"/>
                <w:szCs w:val="24"/>
              </w:rPr>
              <w:t>C</w:t>
            </w:r>
            <w:r w:rsidRPr="00ED5725">
              <w:rPr>
                <w:rFonts w:ascii="Calibri" w:hAnsi="Calibri" w:cs="Calibri"/>
                <w:color w:val="000000"/>
                <w:sz w:val="24"/>
                <w:szCs w:val="24"/>
              </w:rPr>
              <w:t xml:space="preserve">hildren aged under 18 by ethnicity </w:t>
            </w:r>
            <w:r w:rsidRPr="001D7DAF">
              <w:rPr>
                <w:rFonts w:ascii="Calibri" w:hAnsi="Calibri" w:cs="Calibri"/>
                <w:color w:val="000000"/>
              </w:rPr>
              <w:t>(2011 Census)</w:t>
            </w:r>
          </w:p>
        </w:tc>
      </w:tr>
      <w:tr w:rsidR="001D7DAF" w:rsidRPr="00580BD2" w14:paraId="543F1765" w14:textId="395522B9" w:rsidTr="001D7DAF">
        <w:trPr>
          <w:trHeight w:hRule="exact" w:val="340"/>
        </w:trPr>
        <w:tc>
          <w:tcPr>
            <w:tcW w:w="4155" w:type="dxa"/>
            <w:vMerge/>
            <w:tcBorders>
              <w:left w:val="single" w:sz="4" w:space="0" w:color="00B050"/>
              <w:bottom w:val="single" w:sz="4" w:space="0" w:color="00B050"/>
              <w:right w:val="single" w:sz="4" w:space="0" w:color="00B050"/>
            </w:tcBorders>
            <w:shd w:val="clear" w:color="000000" w:fill="D9D9D9"/>
            <w:vAlign w:val="center"/>
            <w:hideMark/>
          </w:tcPr>
          <w:p w14:paraId="05A72C31" w14:textId="02D522F4" w:rsidR="001D7DAF" w:rsidRPr="00580BD2" w:rsidRDefault="001D7DAF" w:rsidP="001D7DAF">
            <w:pPr>
              <w:rPr>
                <w:rFonts w:cs="Arial"/>
                <w:sz w:val="24"/>
                <w:szCs w:val="24"/>
              </w:rPr>
            </w:pPr>
          </w:p>
        </w:tc>
        <w:tc>
          <w:tcPr>
            <w:tcW w:w="1134" w:type="dxa"/>
            <w:tcBorders>
              <w:top w:val="single" w:sz="4" w:space="0" w:color="00B050"/>
              <w:left w:val="nil"/>
              <w:bottom w:val="single" w:sz="4" w:space="0" w:color="00B050"/>
              <w:right w:val="single" w:sz="4" w:space="0" w:color="00B050"/>
            </w:tcBorders>
            <w:shd w:val="clear" w:color="000000" w:fill="D9D9D9"/>
            <w:vAlign w:val="center"/>
            <w:hideMark/>
          </w:tcPr>
          <w:p w14:paraId="7956F909" w14:textId="77777777" w:rsidR="001D7DAF" w:rsidRPr="00580BD2" w:rsidRDefault="001D7DAF" w:rsidP="001D7DAF">
            <w:pPr>
              <w:jc w:val="center"/>
              <w:rPr>
                <w:rFonts w:cs="Arial"/>
                <w:sz w:val="24"/>
                <w:szCs w:val="24"/>
              </w:rPr>
            </w:pPr>
            <w:r w:rsidRPr="00580BD2">
              <w:rPr>
                <w:rFonts w:cs="Arial"/>
                <w:sz w:val="24"/>
                <w:szCs w:val="24"/>
              </w:rPr>
              <w:t>Number</w:t>
            </w:r>
          </w:p>
        </w:tc>
        <w:tc>
          <w:tcPr>
            <w:tcW w:w="1134" w:type="dxa"/>
            <w:tcBorders>
              <w:top w:val="single" w:sz="4" w:space="0" w:color="00B050"/>
              <w:left w:val="nil"/>
              <w:bottom w:val="single" w:sz="4" w:space="0" w:color="00B050"/>
              <w:right w:val="single" w:sz="4" w:space="0" w:color="00B050"/>
            </w:tcBorders>
            <w:shd w:val="clear" w:color="000000" w:fill="D9D9D9"/>
            <w:vAlign w:val="center"/>
          </w:tcPr>
          <w:p w14:paraId="189CD90A" w14:textId="7638AE05" w:rsidR="001D7DAF" w:rsidRPr="001D7DAF" w:rsidRDefault="001D7DAF" w:rsidP="001D7DAF">
            <w:pPr>
              <w:jc w:val="center"/>
              <w:rPr>
                <w:rFonts w:cs="Arial"/>
                <w:sz w:val="24"/>
                <w:szCs w:val="24"/>
              </w:rPr>
            </w:pPr>
            <w:r>
              <w:rPr>
                <w:rFonts w:ascii="Calibri" w:hAnsi="Calibri" w:cs="Calibri"/>
                <w:color w:val="000000"/>
                <w:sz w:val="24"/>
                <w:szCs w:val="24"/>
              </w:rPr>
              <w:t>%</w:t>
            </w:r>
          </w:p>
        </w:tc>
        <w:tc>
          <w:tcPr>
            <w:tcW w:w="1701" w:type="dxa"/>
            <w:tcBorders>
              <w:top w:val="single" w:sz="4" w:space="0" w:color="00B050"/>
              <w:left w:val="nil"/>
              <w:bottom w:val="single" w:sz="4" w:space="0" w:color="00B050"/>
              <w:right w:val="single" w:sz="4" w:space="0" w:color="00B050"/>
            </w:tcBorders>
            <w:shd w:val="clear" w:color="000000" w:fill="D9D9D9"/>
            <w:vAlign w:val="center"/>
          </w:tcPr>
          <w:p w14:paraId="713F33A0" w14:textId="376F5850" w:rsidR="001D7DAF" w:rsidRPr="001D7DAF" w:rsidRDefault="001D7DAF" w:rsidP="001D7DAF">
            <w:pPr>
              <w:jc w:val="center"/>
              <w:rPr>
                <w:rFonts w:cs="Arial"/>
                <w:sz w:val="24"/>
                <w:szCs w:val="24"/>
              </w:rPr>
            </w:pPr>
            <w:r w:rsidRPr="00580BD2">
              <w:rPr>
                <w:rFonts w:cs="Arial"/>
                <w:sz w:val="24"/>
                <w:szCs w:val="24"/>
              </w:rPr>
              <w:t>Number</w:t>
            </w:r>
          </w:p>
        </w:tc>
        <w:tc>
          <w:tcPr>
            <w:tcW w:w="1276" w:type="dxa"/>
            <w:tcBorders>
              <w:top w:val="single" w:sz="4" w:space="0" w:color="00B050"/>
              <w:left w:val="nil"/>
              <w:bottom w:val="single" w:sz="4" w:space="0" w:color="00B050"/>
              <w:right w:val="single" w:sz="4" w:space="0" w:color="00B050"/>
            </w:tcBorders>
            <w:shd w:val="clear" w:color="000000" w:fill="D9D9D9"/>
            <w:vAlign w:val="center"/>
          </w:tcPr>
          <w:p w14:paraId="1221E110" w14:textId="054086E3" w:rsidR="001D7DAF" w:rsidRPr="001D7DAF" w:rsidRDefault="001D7DAF" w:rsidP="001D7DAF">
            <w:pPr>
              <w:jc w:val="center"/>
              <w:rPr>
                <w:rFonts w:cs="Arial"/>
                <w:sz w:val="24"/>
                <w:szCs w:val="24"/>
              </w:rPr>
            </w:pPr>
            <w:r>
              <w:rPr>
                <w:rFonts w:ascii="Calibri" w:hAnsi="Calibri" w:cs="Calibri"/>
                <w:color w:val="000000"/>
                <w:sz w:val="24"/>
                <w:szCs w:val="24"/>
              </w:rPr>
              <w:t>%</w:t>
            </w:r>
          </w:p>
        </w:tc>
      </w:tr>
      <w:tr w:rsidR="001D7DAF" w:rsidRPr="00580BD2" w14:paraId="3DB8D0D5" w14:textId="38C3CBB9" w:rsidTr="001D7DAF">
        <w:trPr>
          <w:trHeight w:hRule="exact" w:val="340"/>
        </w:trPr>
        <w:tc>
          <w:tcPr>
            <w:tcW w:w="4155" w:type="dxa"/>
            <w:tcBorders>
              <w:top w:val="nil"/>
              <w:left w:val="single" w:sz="4" w:space="0" w:color="00B050"/>
              <w:bottom w:val="single" w:sz="4" w:space="0" w:color="00B050"/>
              <w:right w:val="single" w:sz="4" w:space="0" w:color="00B050"/>
            </w:tcBorders>
            <w:shd w:val="clear" w:color="auto" w:fill="auto"/>
            <w:noWrap/>
            <w:vAlign w:val="bottom"/>
            <w:hideMark/>
          </w:tcPr>
          <w:p w14:paraId="13715177" w14:textId="77777777" w:rsidR="001D7DAF" w:rsidRPr="001D7DAF" w:rsidRDefault="001D7DAF" w:rsidP="001D7DAF">
            <w:pPr>
              <w:jc w:val="right"/>
              <w:rPr>
                <w:rFonts w:cstheme="minorHAnsi"/>
                <w:sz w:val="24"/>
                <w:szCs w:val="24"/>
              </w:rPr>
            </w:pPr>
            <w:r w:rsidRPr="001D7DAF">
              <w:rPr>
                <w:rFonts w:cstheme="minorHAnsi"/>
                <w:sz w:val="24"/>
                <w:szCs w:val="24"/>
              </w:rPr>
              <w:t>Asian or Asian British</w:t>
            </w:r>
          </w:p>
        </w:tc>
        <w:tc>
          <w:tcPr>
            <w:tcW w:w="1134" w:type="dxa"/>
            <w:tcBorders>
              <w:top w:val="nil"/>
              <w:left w:val="nil"/>
              <w:bottom w:val="single" w:sz="4" w:space="0" w:color="00B050"/>
              <w:right w:val="single" w:sz="4" w:space="0" w:color="00B050"/>
            </w:tcBorders>
            <w:shd w:val="clear" w:color="auto" w:fill="auto"/>
            <w:noWrap/>
            <w:vAlign w:val="center"/>
            <w:hideMark/>
          </w:tcPr>
          <w:p w14:paraId="7D4EF88D" w14:textId="77777777" w:rsidR="001D7DAF" w:rsidRPr="001D7DAF" w:rsidRDefault="001D7DAF" w:rsidP="001D7DAF">
            <w:pPr>
              <w:jc w:val="right"/>
              <w:rPr>
                <w:rFonts w:cstheme="minorHAnsi"/>
                <w:sz w:val="24"/>
                <w:szCs w:val="24"/>
              </w:rPr>
            </w:pPr>
            <w:r w:rsidRPr="001D7DAF">
              <w:rPr>
                <w:rFonts w:cstheme="minorHAnsi"/>
                <w:color w:val="000000"/>
                <w:sz w:val="24"/>
                <w:szCs w:val="24"/>
              </w:rPr>
              <w:t>378</w:t>
            </w:r>
          </w:p>
        </w:tc>
        <w:tc>
          <w:tcPr>
            <w:tcW w:w="1134" w:type="dxa"/>
            <w:tcBorders>
              <w:top w:val="nil"/>
              <w:left w:val="nil"/>
              <w:bottom w:val="single" w:sz="4" w:space="0" w:color="00B050"/>
              <w:right w:val="single" w:sz="4" w:space="0" w:color="00B050"/>
            </w:tcBorders>
            <w:shd w:val="clear" w:color="auto" w:fill="auto"/>
            <w:noWrap/>
            <w:vAlign w:val="center"/>
          </w:tcPr>
          <w:p w14:paraId="59A22D83" w14:textId="010D4E9A" w:rsidR="001D7DAF" w:rsidRPr="001D7DAF" w:rsidRDefault="001D7DAF" w:rsidP="001D7DAF">
            <w:pPr>
              <w:jc w:val="right"/>
              <w:rPr>
                <w:rFonts w:cstheme="minorHAnsi"/>
                <w:sz w:val="24"/>
                <w:szCs w:val="24"/>
              </w:rPr>
            </w:pPr>
            <w:r w:rsidRPr="001D7DAF">
              <w:rPr>
                <w:rFonts w:cstheme="minorHAnsi"/>
                <w:color w:val="000000"/>
                <w:sz w:val="24"/>
                <w:szCs w:val="24"/>
              </w:rPr>
              <w:t>19.1%</w:t>
            </w:r>
          </w:p>
        </w:tc>
        <w:tc>
          <w:tcPr>
            <w:tcW w:w="1701" w:type="dxa"/>
            <w:tcBorders>
              <w:top w:val="nil"/>
              <w:left w:val="nil"/>
              <w:bottom w:val="single" w:sz="4" w:space="0" w:color="00B050"/>
              <w:right w:val="single" w:sz="4" w:space="0" w:color="00B050"/>
            </w:tcBorders>
            <w:vAlign w:val="center"/>
          </w:tcPr>
          <w:p w14:paraId="10DF73D3" w14:textId="1D6C9865" w:rsidR="001D7DAF" w:rsidRPr="001D7DAF" w:rsidRDefault="001D7DAF" w:rsidP="001D7DAF">
            <w:pPr>
              <w:jc w:val="right"/>
              <w:rPr>
                <w:rFonts w:cstheme="minorHAnsi"/>
                <w:sz w:val="24"/>
                <w:szCs w:val="24"/>
              </w:rPr>
            </w:pPr>
            <w:r w:rsidRPr="001D7DAF">
              <w:rPr>
                <w:rFonts w:cstheme="minorHAnsi"/>
                <w:color w:val="000000"/>
                <w:sz w:val="24"/>
                <w:szCs w:val="24"/>
              </w:rPr>
              <w:t>18,337</w:t>
            </w:r>
          </w:p>
        </w:tc>
        <w:tc>
          <w:tcPr>
            <w:tcW w:w="1276" w:type="dxa"/>
            <w:tcBorders>
              <w:top w:val="nil"/>
              <w:left w:val="nil"/>
              <w:bottom w:val="single" w:sz="4" w:space="0" w:color="00B050"/>
              <w:right w:val="single" w:sz="4" w:space="0" w:color="00B050"/>
            </w:tcBorders>
            <w:vAlign w:val="center"/>
          </w:tcPr>
          <w:p w14:paraId="4A6B58CA" w14:textId="4646C415" w:rsidR="001D7DAF" w:rsidRPr="001D7DAF" w:rsidRDefault="001D7DAF" w:rsidP="001D7DAF">
            <w:pPr>
              <w:jc w:val="right"/>
              <w:rPr>
                <w:rFonts w:cstheme="minorHAnsi"/>
                <w:sz w:val="24"/>
                <w:szCs w:val="24"/>
              </w:rPr>
            </w:pPr>
            <w:r w:rsidRPr="001D7DAF">
              <w:rPr>
                <w:rFonts w:cstheme="minorHAnsi"/>
                <w:color w:val="000000"/>
                <w:sz w:val="24"/>
                <w:szCs w:val="24"/>
              </w:rPr>
              <w:t>24.7%</w:t>
            </w:r>
          </w:p>
        </w:tc>
      </w:tr>
      <w:tr w:rsidR="001D7DAF" w:rsidRPr="00580BD2" w14:paraId="384C7CAA" w14:textId="133A1C65" w:rsidTr="001D7DAF">
        <w:trPr>
          <w:trHeight w:hRule="exact" w:val="340"/>
        </w:trPr>
        <w:tc>
          <w:tcPr>
            <w:tcW w:w="4155" w:type="dxa"/>
            <w:tcBorders>
              <w:top w:val="nil"/>
              <w:left w:val="single" w:sz="4" w:space="0" w:color="00B050"/>
              <w:bottom w:val="single" w:sz="4" w:space="0" w:color="00B050"/>
              <w:right w:val="single" w:sz="4" w:space="0" w:color="00B050"/>
            </w:tcBorders>
            <w:shd w:val="clear" w:color="auto" w:fill="auto"/>
            <w:noWrap/>
            <w:vAlign w:val="bottom"/>
            <w:hideMark/>
          </w:tcPr>
          <w:p w14:paraId="763057D6" w14:textId="77777777" w:rsidR="001D7DAF" w:rsidRPr="001D7DAF" w:rsidRDefault="001D7DAF" w:rsidP="001D7DAF">
            <w:pPr>
              <w:jc w:val="right"/>
              <w:rPr>
                <w:rFonts w:cstheme="minorHAnsi"/>
                <w:sz w:val="24"/>
                <w:szCs w:val="24"/>
              </w:rPr>
            </w:pPr>
            <w:r w:rsidRPr="001D7DAF">
              <w:rPr>
                <w:rFonts w:cstheme="minorHAnsi"/>
                <w:sz w:val="24"/>
                <w:szCs w:val="24"/>
              </w:rPr>
              <w:t>Black or Black British</w:t>
            </w:r>
          </w:p>
        </w:tc>
        <w:tc>
          <w:tcPr>
            <w:tcW w:w="1134" w:type="dxa"/>
            <w:tcBorders>
              <w:top w:val="nil"/>
              <w:left w:val="nil"/>
              <w:bottom w:val="single" w:sz="4" w:space="0" w:color="00B050"/>
              <w:right w:val="single" w:sz="4" w:space="0" w:color="00B050"/>
            </w:tcBorders>
            <w:shd w:val="clear" w:color="auto" w:fill="auto"/>
            <w:noWrap/>
            <w:vAlign w:val="center"/>
            <w:hideMark/>
          </w:tcPr>
          <w:p w14:paraId="37A6B27D" w14:textId="77777777" w:rsidR="001D7DAF" w:rsidRPr="001D7DAF" w:rsidRDefault="001D7DAF" w:rsidP="001D7DAF">
            <w:pPr>
              <w:jc w:val="right"/>
              <w:rPr>
                <w:rFonts w:cstheme="minorHAnsi"/>
                <w:sz w:val="24"/>
                <w:szCs w:val="24"/>
              </w:rPr>
            </w:pPr>
            <w:r w:rsidRPr="001D7DAF">
              <w:rPr>
                <w:rFonts w:cstheme="minorHAnsi"/>
                <w:color w:val="000000"/>
                <w:sz w:val="24"/>
                <w:szCs w:val="24"/>
              </w:rPr>
              <w:t>224</w:t>
            </w:r>
          </w:p>
        </w:tc>
        <w:tc>
          <w:tcPr>
            <w:tcW w:w="1134" w:type="dxa"/>
            <w:tcBorders>
              <w:top w:val="nil"/>
              <w:left w:val="nil"/>
              <w:bottom w:val="single" w:sz="4" w:space="0" w:color="00B050"/>
              <w:right w:val="single" w:sz="4" w:space="0" w:color="00B050"/>
            </w:tcBorders>
            <w:shd w:val="clear" w:color="auto" w:fill="auto"/>
            <w:noWrap/>
            <w:vAlign w:val="center"/>
          </w:tcPr>
          <w:p w14:paraId="111A4818" w14:textId="7A2E7BB1" w:rsidR="001D7DAF" w:rsidRPr="001D7DAF" w:rsidRDefault="001D7DAF" w:rsidP="001D7DAF">
            <w:pPr>
              <w:jc w:val="right"/>
              <w:rPr>
                <w:rFonts w:cstheme="minorHAnsi"/>
                <w:sz w:val="24"/>
                <w:szCs w:val="24"/>
              </w:rPr>
            </w:pPr>
            <w:r w:rsidRPr="001D7DAF">
              <w:rPr>
                <w:rFonts w:cstheme="minorHAnsi"/>
                <w:color w:val="000000"/>
                <w:sz w:val="24"/>
                <w:szCs w:val="24"/>
              </w:rPr>
              <w:t>11.3%</w:t>
            </w:r>
          </w:p>
        </w:tc>
        <w:tc>
          <w:tcPr>
            <w:tcW w:w="1701" w:type="dxa"/>
            <w:tcBorders>
              <w:top w:val="nil"/>
              <w:left w:val="nil"/>
              <w:bottom w:val="single" w:sz="4" w:space="0" w:color="00B050"/>
              <w:right w:val="single" w:sz="4" w:space="0" w:color="00B050"/>
            </w:tcBorders>
            <w:vAlign w:val="center"/>
          </w:tcPr>
          <w:p w14:paraId="11C70323" w14:textId="5840838B" w:rsidR="001D7DAF" w:rsidRPr="001D7DAF" w:rsidRDefault="001D7DAF" w:rsidP="001D7DAF">
            <w:pPr>
              <w:jc w:val="right"/>
              <w:rPr>
                <w:rFonts w:cstheme="minorHAnsi"/>
                <w:sz w:val="24"/>
                <w:szCs w:val="24"/>
              </w:rPr>
            </w:pPr>
            <w:r w:rsidRPr="001D7DAF">
              <w:rPr>
                <w:rFonts w:cstheme="minorHAnsi"/>
                <w:color w:val="000000"/>
                <w:sz w:val="24"/>
                <w:szCs w:val="24"/>
              </w:rPr>
              <w:t>5,194</w:t>
            </w:r>
          </w:p>
        </w:tc>
        <w:tc>
          <w:tcPr>
            <w:tcW w:w="1276" w:type="dxa"/>
            <w:tcBorders>
              <w:top w:val="nil"/>
              <w:left w:val="nil"/>
              <w:bottom w:val="single" w:sz="4" w:space="0" w:color="00B050"/>
              <w:right w:val="single" w:sz="4" w:space="0" w:color="00B050"/>
            </w:tcBorders>
            <w:vAlign w:val="center"/>
          </w:tcPr>
          <w:p w14:paraId="37600E75" w14:textId="20ACCD37" w:rsidR="001D7DAF" w:rsidRPr="001D7DAF" w:rsidRDefault="001D7DAF" w:rsidP="001D7DAF">
            <w:pPr>
              <w:jc w:val="right"/>
              <w:rPr>
                <w:rFonts w:cstheme="minorHAnsi"/>
                <w:sz w:val="24"/>
                <w:szCs w:val="24"/>
              </w:rPr>
            </w:pPr>
            <w:r w:rsidRPr="001D7DAF">
              <w:rPr>
                <w:rFonts w:cstheme="minorHAnsi"/>
                <w:color w:val="000000"/>
                <w:sz w:val="24"/>
                <w:szCs w:val="24"/>
              </w:rPr>
              <w:t>7.0%</w:t>
            </w:r>
          </w:p>
        </w:tc>
      </w:tr>
      <w:tr w:rsidR="001D7DAF" w:rsidRPr="00580BD2" w14:paraId="15BE5A38" w14:textId="7B176815" w:rsidTr="001D7DAF">
        <w:trPr>
          <w:trHeight w:hRule="exact" w:val="340"/>
        </w:trPr>
        <w:tc>
          <w:tcPr>
            <w:tcW w:w="4155" w:type="dxa"/>
            <w:tcBorders>
              <w:top w:val="nil"/>
              <w:left w:val="single" w:sz="4" w:space="0" w:color="00B050"/>
              <w:bottom w:val="single" w:sz="4" w:space="0" w:color="00B050"/>
              <w:right w:val="single" w:sz="4" w:space="0" w:color="00B050"/>
            </w:tcBorders>
            <w:shd w:val="clear" w:color="auto" w:fill="auto"/>
            <w:noWrap/>
            <w:vAlign w:val="bottom"/>
            <w:hideMark/>
          </w:tcPr>
          <w:p w14:paraId="69574538" w14:textId="77777777" w:rsidR="001D7DAF" w:rsidRPr="001D7DAF" w:rsidRDefault="001D7DAF" w:rsidP="001D7DAF">
            <w:pPr>
              <w:jc w:val="right"/>
              <w:rPr>
                <w:rFonts w:cstheme="minorHAnsi"/>
                <w:sz w:val="24"/>
                <w:szCs w:val="24"/>
              </w:rPr>
            </w:pPr>
            <w:r w:rsidRPr="001D7DAF">
              <w:rPr>
                <w:rFonts w:cstheme="minorHAnsi"/>
                <w:sz w:val="24"/>
                <w:szCs w:val="24"/>
              </w:rPr>
              <w:t>Mixed</w:t>
            </w:r>
          </w:p>
        </w:tc>
        <w:tc>
          <w:tcPr>
            <w:tcW w:w="1134" w:type="dxa"/>
            <w:tcBorders>
              <w:top w:val="nil"/>
              <w:left w:val="nil"/>
              <w:bottom w:val="single" w:sz="4" w:space="0" w:color="00B050"/>
              <w:right w:val="single" w:sz="4" w:space="0" w:color="00B050"/>
            </w:tcBorders>
            <w:shd w:val="clear" w:color="auto" w:fill="auto"/>
            <w:noWrap/>
            <w:vAlign w:val="center"/>
            <w:hideMark/>
          </w:tcPr>
          <w:p w14:paraId="54076FC7" w14:textId="77777777" w:rsidR="001D7DAF" w:rsidRPr="001D7DAF" w:rsidRDefault="001D7DAF" w:rsidP="001D7DAF">
            <w:pPr>
              <w:jc w:val="right"/>
              <w:rPr>
                <w:rFonts w:cstheme="minorHAnsi"/>
                <w:sz w:val="24"/>
                <w:szCs w:val="24"/>
              </w:rPr>
            </w:pPr>
            <w:r w:rsidRPr="001D7DAF">
              <w:rPr>
                <w:rFonts w:cstheme="minorHAnsi"/>
                <w:color w:val="000000"/>
                <w:sz w:val="24"/>
                <w:szCs w:val="24"/>
              </w:rPr>
              <w:t>261</w:t>
            </w:r>
          </w:p>
        </w:tc>
        <w:tc>
          <w:tcPr>
            <w:tcW w:w="1134" w:type="dxa"/>
            <w:tcBorders>
              <w:top w:val="nil"/>
              <w:left w:val="nil"/>
              <w:bottom w:val="single" w:sz="4" w:space="0" w:color="00B050"/>
              <w:right w:val="single" w:sz="4" w:space="0" w:color="00B050"/>
            </w:tcBorders>
            <w:shd w:val="clear" w:color="auto" w:fill="auto"/>
            <w:noWrap/>
            <w:vAlign w:val="center"/>
          </w:tcPr>
          <w:p w14:paraId="3C57F77D" w14:textId="3E3A9D02" w:rsidR="001D7DAF" w:rsidRPr="001D7DAF" w:rsidRDefault="001D7DAF" w:rsidP="001D7DAF">
            <w:pPr>
              <w:jc w:val="right"/>
              <w:rPr>
                <w:rFonts w:cstheme="minorHAnsi"/>
                <w:sz w:val="24"/>
                <w:szCs w:val="24"/>
              </w:rPr>
            </w:pPr>
            <w:r w:rsidRPr="001D7DAF">
              <w:rPr>
                <w:rFonts w:cstheme="minorHAnsi"/>
                <w:color w:val="000000"/>
                <w:sz w:val="24"/>
                <w:szCs w:val="24"/>
              </w:rPr>
              <w:t>13.2%</w:t>
            </w:r>
          </w:p>
        </w:tc>
        <w:tc>
          <w:tcPr>
            <w:tcW w:w="1701" w:type="dxa"/>
            <w:tcBorders>
              <w:top w:val="nil"/>
              <w:left w:val="nil"/>
              <w:bottom w:val="single" w:sz="4" w:space="0" w:color="00B050"/>
              <w:right w:val="single" w:sz="4" w:space="0" w:color="00B050"/>
            </w:tcBorders>
            <w:vAlign w:val="center"/>
          </w:tcPr>
          <w:p w14:paraId="3DF420D2" w14:textId="280E38C1" w:rsidR="001D7DAF" w:rsidRPr="001D7DAF" w:rsidRDefault="001D7DAF" w:rsidP="001D7DAF">
            <w:pPr>
              <w:jc w:val="right"/>
              <w:rPr>
                <w:rFonts w:cstheme="minorHAnsi"/>
                <w:sz w:val="24"/>
                <w:szCs w:val="24"/>
              </w:rPr>
            </w:pPr>
            <w:r w:rsidRPr="001D7DAF">
              <w:rPr>
                <w:rFonts w:cstheme="minorHAnsi"/>
                <w:color w:val="000000"/>
                <w:sz w:val="24"/>
                <w:szCs w:val="24"/>
              </w:rPr>
              <w:t>5,786</w:t>
            </w:r>
          </w:p>
        </w:tc>
        <w:tc>
          <w:tcPr>
            <w:tcW w:w="1276" w:type="dxa"/>
            <w:tcBorders>
              <w:top w:val="nil"/>
              <w:left w:val="nil"/>
              <w:bottom w:val="single" w:sz="4" w:space="0" w:color="00B050"/>
              <w:right w:val="single" w:sz="4" w:space="0" w:color="00B050"/>
            </w:tcBorders>
            <w:vAlign w:val="center"/>
          </w:tcPr>
          <w:p w14:paraId="4C00D5B4" w14:textId="644C6BC5" w:rsidR="001D7DAF" w:rsidRPr="001D7DAF" w:rsidRDefault="001D7DAF" w:rsidP="001D7DAF">
            <w:pPr>
              <w:jc w:val="right"/>
              <w:rPr>
                <w:rFonts w:cstheme="minorHAnsi"/>
                <w:sz w:val="24"/>
                <w:szCs w:val="24"/>
              </w:rPr>
            </w:pPr>
            <w:r w:rsidRPr="001D7DAF">
              <w:rPr>
                <w:rFonts w:cstheme="minorHAnsi"/>
                <w:color w:val="000000"/>
                <w:sz w:val="24"/>
                <w:szCs w:val="24"/>
              </w:rPr>
              <w:t>7.8%</w:t>
            </w:r>
          </w:p>
        </w:tc>
      </w:tr>
      <w:tr w:rsidR="001D7DAF" w:rsidRPr="00580BD2" w14:paraId="0C8D7707" w14:textId="57133FC4" w:rsidTr="001D7DAF">
        <w:trPr>
          <w:trHeight w:hRule="exact" w:val="340"/>
        </w:trPr>
        <w:tc>
          <w:tcPr>
            <w:tcW w:w="4155" w:type="dxa"/>
            <w:tcBorders>
              <w:top w:val="nil"/>
              <w:left w:val="single" w:sz="4" w:space="0" w:color="00B050"/>
              <w:bottom w:val="single" w:sz="4" w:space="0" w:color="00B050"/>
              <w:right w:val="single" w:sz="4" w:space="0" w:color="00B050"/>
            </w:tcBorders>
            <w:shd w:val="clear" w:color="auto" w:fill="auto"/>
            <w:noWrap/>
            <w:vAlign w:val="bottom"/>
            <w:hideMark/>
          </w:tcPr>
          <w:p w14:paraId="4297C7B9" w14:textId="77777777" w:rsidR="001D7DAF" w:rsidRPr="001D7DAF" w:rsidRDefault="001D7DAF" w:rsidP="001D7DAF">
            <w:pPr>
              <w:jc w:val="right"/>
              <w:rPr>
                <w:rFonts w:cstheme="minorHAnsi"/>
                <w:sz w:val="24"/>
                <w:szCs w:val="24"/>
              </w:rPr>
            </w:pPr>
            <w:r w:rsidRPr="001D7DAF">
              <w:rPr>
                <w:rFonts w:cstheme="minorHAnsi"/>
                <w:sz w:val="24"/>
                <w:szCs w:val="24"/>
              </w:rPr>
              <w:t>White</w:t>
            </w:r>
          </w:p>
        </w:tc>
        <w:tc>
          <w:tcPr>
            <w:tcW w:w="1134" w:type="dxa"/>
            <w:tcBorders>
              <w:top w:val="nil"/>
              <w:left w:val="nil"/>
              <w:bottom w:val="single" w:sz="4" w:space="0" w:color="00B050"/>
              <w:right w:val="single" w:sz="4" w:space="0" w:color="00B050"/>
            </w:tcBorders>
            <w:shd w:val="clear" w:color="auto" w:fill="auto"/>
            <w:noWrap/>
            <w:vAlign w:val="center"/>
            <w:hideMark/>
          </w:tcPr>
          <w:p w14:paraId="53D5D295" w14:textId="77777777" w:rsidR="001D7DAF" w:rsidRPr="001D7DAF" w:rsidRDefault="001D7DAF" w:rsidP="001D7DAF">
            <w:pPr>
              <w:jc w:val="right"/>
              <w:rPr>
                <w:rFonts w:cstheme="minorHAnsi"/>
                <w:sz w:val="24"/>
                <w:szCs w:val="24"/>
              </w:rPr>
            </w:pPr>
            <w:r w:rsidRPr="001D7DAF">
              <w:rPr>
                <w:rFonts w:cstheme="minorHAnsi"/>
                <w:color w:val="000000"/>
                <w:sz w:val="24"/>
                <w:szCs w:val="24"/>
              </w:rPr>
              <w:t>1091</w:t>
            </w:r>
          </w:p>
        </w:tc>
        <w:tc>
          <w:tcPr>
            <w:tcW w:w="1134" w:type="dxa"/>
            <w:tcBorders>
              <w:top w:val="nil"/>
              <w:left w:val="nil"/>
              <w:bottom w:val="single" w:sz="4" w:space="0" w:color="00B050"/>
              <w:right w:val="single" w:sz="4" w:space="0" w:color="00B050"/>
            </w:tcBorders>
            <w:shd w:val="clear" w:color="auto" w:fill="auto"/>
            <w:noWrap/>
            <w:vAlign w:val="center"/>
          </w:tcPr>
          <w:p w14:paraId="4CFC77D1" w14:textId="4911CE79" w:rsidR="001D7DAF" w:rsidRPr="001D7DAF" w:rsidRDefault="001D7DAF" w:rsidP="001D7DAF">
            <w:pPr>
              <w:jc w:val="right"/>
              <w:rPr>
                <w:rFonts w:cstheme="minorHAnsi"/>
                <w:sz w:val="24"/>
                <w:szCs w:val="24"/>
              </w:rPr>
            </w:pPr>
            <w:r w:rsidRPr="001D7DAF">
              <w:rPr>
                <w:rFonts w:cstheme="minorHAnsi"/>
                <w:color w:val="000000"/>
                <w:sz w:val="24"/>
                <w:szCs w:val="24"/>
              </w:rPr>
              <w:t>55.2%</w:t>
            </w:r>
          </w:p>
        </w:tc>
        <w:tc>
          <w:tcPr>
            <w:tcW w:w="1701" w:type="dxa"/>
            <w:tcBorders>
              <w:top w:val="nil"/>
              <w:left w:val="nil"/>
              <w:bottom w:val="single" w:sz="4" w:space="0" w:color="00B050"/>
              <w:right w:val="single" w:sz="4" w:space="0" w:color="00B050"/>
            </w:tcBorders>
            <w:vAlign w:val="center"/>
          </w:tcPr>
          <w:p w14:paraId="4F094922" w14:textId="42DF4661" w:rsidR="001D7DAF" w:rsidRPr="001D7DAF" w:rsidRDefault="001D7DAF" w:rsidP="001D7DAF">
            <w:pPr>
              <w:jc w:val="right"/>
              <w:rPr>
                <w:rFonts w:cstheme="minorHAnsi"/>
                <w:sz w:val="24"/>
                <w:szCs w:val="24"/>
              </w:rPr>
            </w:pPr>
            <w:r w:rsidRPr="001D7DAF">
              <w:rPr>
                <w:rFonts w:cstheme="minorHAnsi"/>
                <w:color w:val="000000"/>
                <w:sz w:val="24"/>
                <w:szCs w:val="24"/>
              </w:rPr>
              <w:t>43,724</w:t>
            </w:r>
          </w:p>
        </w:tc>
        <w:tc>
          <w:tcPr>
            <w:tcW w:w="1276" w:type="dxa"/>
            <w:tcBorders>
              <w:top w:val="nil"/>
              <w:left w:val="nil"/>
              <w:bottom w:val="single" w:sz="4" w:space="0" w:color="00B050"/>
              <w:right w:val="single" w:sz="4" w:space="0" w:color="00B050"/>
            </w:tcBorders>
            <w:vAlign w:val="center"/>
          </w:tcPr>
          <w:p w14:paraId="18823931" w14:textId="164662BA" w:rsidR="001D7DAF" w:rsidRPr="001D7DAF" w:rsidRDefault="001D7DAF" w:rsidP="001D7DAF">
            <w:pPr>
              <w:jc w:val="right"/>
              <w:rPr>
                <w:rFonts w:cstheme="minorHAnsi"/>
                <w:sz w:val="24"/>
                <w:szCs w:val="24"/>
              </w:rPr>
            </w:pPr>
            <w:r w:rsidRPr="001D7DAF">
              <w:rPr>
                <w:rFonts w:cstheme="minorHAnsi"/>
                <w:color w:val="000000"/>
                <w:sz w:val="24"/>
                <w:szCs w:val="24"/>
              </w:rPr>
              <w:t>58.8%</w:t>
            </w:r>
          </w:p>
        </w:tc>
      </w:tr>
      <w:tr w:rsidR="001D7DAF" w:rsidRPr="00580BD2" w14:paraId="7CF49FC8" w14:textId="56D8D15C" w:rsidTr="001D7DAF">
        <w:trPr>
          <w:trHeight w:hRule="exact" w:val="340"/>
        </w:trPr>
        <w:tc>
          <w:tcPr>
            <w:tcW w:w="4155" w:type="dxa"/>
            <w:tcBorders>
              <w:top w:val="nil"/>
              <w:left w:val="single" w:sz="4" w:space="0" w:color="00B050"/>
              <w:bottom w:val="single" w:sz="4" w:space="0" w:color="00B050"/>
              <w:right w:val="single" w:sz="4" w:space="0" w:color="00B050"/>
            </w:tcBorders>
            <w:shd w:val="clear" w:color="auto" w:fill="auto"/>
            <w:noWrap/>
            <w:vAlign w:val="bottom"/>
            <w:hideMark/>
          </w:tcPr>
          <w:p w14:paraId="2A1C02D0" w14:textId="77777777" w:rsidR="001D7DAF" w:rsidRPr="001D7DAF" w:rsidRDefault="001D7DAF" w:rsidP="001D7DAF">
            <w:pPr>
              <w:jc w:val="right"/>
              <w:rPr>
                <w:rFonts w:cstheme="minorHAnsi"/>
                <w:sz w:val="24"/>
                <w:szCs w:val="24"/>
              </w:rPr>
            </w:pPr>
            <w:r w:rsidRPr="001D7DAF">
              <w:rPr>
                <w:rFonts w:cstheme="minorHAnsi"/>
                <w:sz w:val="24"/>
                <w:szCs w:val="24"/>
              </w:rPr>
              <w:t>Other ethnic background</w:t>
            </w:r>
          </w:p>
        </w:tc>
        <w:tc>
          <w:tcPr>
            <w:tcW w:w="1134" w:type="dxa"/>
            <w:tcBorders>
              <w:top w:val="nil"/>
              <w:left w:val="nil"/>
              <w:bottom w:val="single" w:sz="4" w:space="0" w:color="00B050"/>
              <w:right w:val="single" w:sz="4" w:space="0" w:color="00B050"/>
            </w:tcBorders>
            <w:shd w:val="clear" w:color="auto" w:fill="auto"/>
            <w:noWrap/>
            <w:vAlign w:val="center"/>
            <w:hideMark/>
          </w:tcPr>
          <w:p w14:paraId="0FA4B30B" w14:textId="77777777" w:rsidR="001D7DAF" w:rsidRPr="001D7DAF" w:rsidRDefault="001D7DAF" w:rsidP="001D7DAF">
            <w:pPr>
              <w:jc w:val="right"/>
              <w:rPr>
                <w:rFonts w:cstheme="minorHAnsi"/>
                <w:sz w:val="24"/>
                <w:szCs w:val="24"/>
              </w:rPr>
            </w:pPr>
            <w:r w:rsidRPr="001D7DAF">
              <w:rPr>
                <w:rFonts w:cstheme="minorHAnsi"/>
                <w:color w:val="000000"/>
                <w:sz w:val="24"/>
                <w:szCs w:val="24"/>
              </w:rPr>
              <w:t>21</w:t>
            </w:r>
          </w:p>
        </w:tc>
        <w:tc>
          <w:tcPr>
            <w:tcW w:w="1134" w:type="dxa"/>
            <w:tcBorders>
              <w:top w:val="nil"/>
              <w:left w:val="nil"/>
              <w:bottom w:val="single" w:sz="4" w:space="0" w:color="00B050"/>
              <w:right w:val="single" w:sz="4" w:space="0" w:color="00B050"/>
            </w:tcBorders>
            <w:shd w:val="clear" w:color="auto" w:fill="auto"/>
            <w:noWrap/>
            <w:vAlign w:val="center"/>
          </w:tcPr>
          <w:p w14:paraId="3C75596E" w14:textId="1004597E" w:rsidR="001D7DAF" w:rsidRPr="001D7DAF" w:rsidRDefault="001D7DAF" w:rsidP="001D7DAF">
            <w:pPr>
              <w:jc w:val="right"/>
              <w:rPr>
                <w:rFonts w:cstheme="minorHAnsi"/>
                <w:sz w:val="24"/>
                <w:szCs w:val="24"/>
              </w:rPr>
            </w:pPr>
            <w:r w:rsidRPr="001D7DAF">
              <w:rPr>
                <w:rFonts w:cstheme="minorHAnsi"/>
                <w:color w:val="000000"/>
                <w:sz w:val="24"/>
                <w:szCs w:val="24"/>
              </w:rPr>
              <w:t>1.1%</w:t>
            </w:r>
          </w:p>
        </w:tc>
        <w:tc>
          <w:tcPr>
            <w:tcW w:w="1701" w:type="dxa"/>
            <w:tcBorders>
              <w:top w:val="nil"/>
              <w:left w:val="nil"/>
              <w:bottom w:val="single" w:sz="4" w:space="0" w:color="00B050"/>
              <w:right w:val="single" w:sz="4" w:space="0" w:color="00B050"/>
            </w:tcBorders>
            <w:vAlign w:val="center"/>
          </w:tcPr>
          <w:p w14:paraId="7C04B557" w14:textId="55F788FB" w:rsidR="001D7DAF" w:rsidRPr="001D7DAF" w:rsidRDefault="001D7DAF" w:rsidP="001D7DAF">
            <w:pPr>
              <w:jc w:val="right"/>
              <w:rPr>
                <w:rFonts w:cstheme="minorHAnsi"/>
                <w:sz w:val="24"/>
                <w:szCs w:val="24"/>
              </w:rPr>
            </w:pPr>
            <w:r w:rsidRPr="001D7DAF">
              <w:rPr>
                <w:rFonts w:cstheme="minorHAnsi"/>
                <w:color w:val="000000"/>
                <w:sz w:val="24"/>
                <w:szCs w:val="24"/>
              </w:rPr>
              <w:t>1,335</w:t>
            </w:r>
          </w:p>
        </w:tc>
        <w:tc>
          <w:tcPr>
            <w:tcW w:w="1276" w:type="dxa"/>
            <w:tcBorders>
              <w:top w:val="nil"/>
              <w:left w:val="nil"/>
              <w:bottom w:val="single" w:sz="4" w:space="0" w:color="00B050"/>
              <w:right w:val="single" w:sz="4" w:space="0" w:color="00B050"/>
            </w:tcBorders>
            <w:vAlign w:val="center"/>
          </w:tcPr>
          <w:p w14:paraId="56E497FA" w14:textId="32F981E5" w:rsidR="001D7DAF" w:rsidRPr="001D7DAF" w:rsidRDefault="001D7DAF" w:rsidP="001D7DAF">
            <w:pPr>
              <w:jc w:val="right"/>
              <w:rPr>
                <w:rFonts w:cstheme="minorHAnsi"/>
                <w:sz w:val="24"/>
                <w:szCs w:val="24"/>
              </w:rPr>
            </w:pPr>
            <w:r w:rsidRPr="001D7DAF">
              <w:rPr>
                <w:rFonts w:cstheme="minorHAnsi"/>
                <w:color w:val="000000"/>
                <w:sz w:val="24"/>
                <w:szCs w:val="24"/>
              </w:rPr>
              <w:t>1.8%</w:t>
            </w:r>
          </w:p>
        </w:tc>
      </w:tr>
      <w:tr w:rsidR="001D7DAF" w:rsidRPr="00580BD2" w14:paraId="2CD6F9B6" w14:textId="1AA73EB2" w:rsidTr="001D7DAF">
        <w:trPr>
          <w:trHeight w:hRule="exact" w:val="340"/>
        </w:trPr>
        <w:tc>
          <w:tcPr>
            <w:tcW w:w="4155" w:type="dxa"/>
            <w:tcBorders>
              <w:top w:val="nil"/>
              <w:left w:val="single" w:sz="4" w:space="0" w:color="00B050"/>
              <w:bottom w:val="single" w:sz="4" w:space="0" w:color="00B050"/>
              <w:right w:val="single" w:sz="4" w:space="0" w:color="00B050"/>
            </w:tcBorders>
            <w:shd w:val="clear" w:color="auto" w:fill="auto"/>
            <w:vAlign w:val="bottom"/>
            <w:hideMark/>
          </w:tcPr>
          <w:p w14:paraId="4FA2BF28" w14:textId="77777777" w:rsidR="001D7DAF" w:rsidRPr="001D7DAF" w:rsidRDefault="001D7DAF" w:rsidP="001D7DAF">
            <w:pPr>
              <w:jc w:val="right"/>
              <w:rPr>
                <w:rFonts w:cstheme="minorHAnsi"/>
                <w:sz w:val="24"/>
                <w:szCs w:val="24"/>
              </w:rPr>
            </w:pPr>
            <w:r w:rsidRPr="001D7DAF">
              <w:rPr>
                <w:rFonts w:cstheme="minorHAnsi"/>
                <w:sz w:val="24"/>
                <w:szCs w:val="24"/>
              </w:rPr>
              <w:t>Not recorded/ information not obtained</w:t>
            </w:r>
          </w:p>
        </w:tc>
        <w:tc>
          <w:tcPr>
            <w:tcW w:w="1134" w:type="dxa"/>
            <w:tcBorders>
              <w:top w:val="nil"/>
              <w:left w:val="nil"/>
              <w:bottom w:val="single" w:sz="4" w:space="0" w:color="00B050"/>
              <w:right w:val="single" w:sz="4" w:space="0" w:color="00B050"/>
            </w:tcBorders>
            <w:shd w:val="clear" w:color="auto" w:fill="auto"/>
            <w:noWrap/>
            <w:vAlign w:val="center"/>
            <w:hideMark/>
          </w:tcPr>
          <w:p w14:paraId="318C32FB" w14:textId="77777777" w:rsidR="001D7DAF" w:rsidRPr="001D7DAF" w:rsidRDefault="001D7DAF" w:rsidP="001D7DAF">
            <w:pPr>
              <w:jc w:val="right"/>
              <w:rPr>
                <w:rFonts w:cstheme="minorHAnsi"/>
                <w:sz w:val="24"/>
                <w:szCs w:val="24"/>
              </w:rPr>
            </w:pPr>
            <w:r w:rsidRPr="001D7DAF">
              <w:rPr>
                <w:rFonts w:cstheme="minorHAnsi"/>
                <w:color w:val="000000"/>
                <w:sz w:val="24"/>
                <w:szCs w:val="24"/>
              </w:rPr>
              <w:t>82</w:t>
            </w:r>
          </w:p>
        </w:tc>
        <w:tc>
          <w:tcPr>
            <w:tcW w:w="1134" w:type="dxa"/>
            <w:tcBorders>
              <w:top w:val="nil"/>
              <w:left w:val="nil"/>
              <w:bottom w:val="single" w:sz="4" w:space="0" w:color="00B050"/>
              <w:right w:val="single" w:sz="4" w:space="0" w:color="00B050"/>
            </w:tcBorders>
            <w:shd w:val="clear" w:color="auto" w:fill="auto"/>
            <w:noWrap/>
            <w:vAlign w:val="center"/>
          </w:tcPr>
          <w:p w14:paraId="6A8C8BAA" w14:textId="28F8EB7C" w:rsidR="001D7DAF" w:rsidRPr="001D7DAF" w:rsidRDefault="001D7DAF" w:rsidP="001D7DAF">
            <w:pPr>
              <w:jc w:val="right"/>
              <w:rPr>
                <w:rFonts w:cstheme="minorHAnsi"/>
                <w:sz w:val="24"/>
                <w:szCs w:val="24"/>
              </w:rPr>
            </w:pPr>
            <w:r w:rsidRPr="001D7DAF">
              <w:rPr>
                <w:rFonts w:cstheme="minorHAnsi"/>
                <w:color w:val="000000"/>
                <w:sz w:val="24"/>
                <w:szCs w:val="24"/>
              </w:rPr>
              <w:t> </w:t>
            </w:r>
          </w:p>
        </w:tc>
        <w:tc>
          <w:tcPr>
            <w:tcW w:w="1701" w:type="dxa"/>
            <w:tcBorders>
              <w:top w:val="nil"/>
              <w:left w:val="nil"/>
              <w:bottom w:val="single" w:sz="4" w:space="0" w:color="00B050"/>
              <w:right w:val="single" w:sz="4" w:space="0" w:color="00B050"/>
            </w:tcBorders>
            <w:vAlign w:val="center"/>
          </w:tcPr>
          <w:p w14:paraId="31F47F6F" w14:textId="706EBDD9" w:rsidR="001D7DAF" w:rsidRPr="001D7DAF" w:rsidRDefault="001D7DAF" w:rsidP="001D7DAF">
            <w:pPr>
              <w:jc w:val="right"/>
              <w:rPr>
                <w:rFonts w:cstheme="minorHAnsi"/>
                <w:sz w:val="24"/>
                <w:szCs w:val="24"/>
              </w:rPr>
            </w:pPr>
            <w:r w:rsidRPr="001D7DAF">
              <w:rPr>
                <w:rFonts w:cstheme="minorHAnsi"/>
                <w:color w:val="000000"/>
                <w:sz w:val="24"/>
                <w:szCs w:val="24"/>
              </w:rPr>
              <w:t> </w:t>
            </w:r>
          </w:p>
        </w:tc>
        <w:tc>
          <w:tcPr>
            <w:tcW w:w="1276" w:type="dxa"/>
            <w:tcBorders>
              <w:top w:val="nil"/>
              <w:left w:val="nil"/>
              <w:bottom w:val="single" w:sz="4" w:space="0" w:color="00B050"/>
              <w:right w:val="single" w:sz="4" w:space="0" w:color="00B050"/>
            </w:tcBorders>
            <w:vAlign w:val="center"/>
          </w:tcPr>
          <w:p w14:paraId="1D1CE338" w14:textId="63762AD0" w:rsidR="001D7DAF" w:rsidRPr="001D7DAF" w:rsidRDefault="001D7DAF" w:rsidP="001D7DAF">
            <w:pPr>
              <w:jc w:val="right"/>
              <w:rPr>
                <w:rFonts w:cstheme="minorHAnsi"/>
                <w:sz w:val="24"/>
                <w:szCs w:val="24"/>
              </w:rPr>
            </w:pPr>
            <w:r w:rsidRPr="001D7DAF">
              <w:rPr>
                <w:rFonts w:cstheme="minorHAnsi"/>
                <w:color w:val="000000"/>
                <w:sz w:val="24"/>
                <w:szCs w:val="24"/>
              </w:rPr>
              <w:t> </w:t>
            </w:r>
          </w:p>
        </w:tc>
      </w:tr>
      <w:tr w:rsidR="001D7DAF" w:rsidRPr="00580BD2" w14:paraId="2608F33A" w14:textId="7845A9CA" w:rsidTr="001D7DAF">
        <w:trPr>
          <w:trHeight w:hRule="exact" w:val="340"/>
        </w:trPr>
        <w:tc>
          <w:tcPr>
            <w:tcW w:w="4155" w:type="dxa"/>
            <w:tcBorders>
              <w:top w:val="nil"/>
              <w:left w:val="single" w:sz="4" w:space="0" w:color="00B050"/>
              <w:bottom w:val="single" w:sz="4" w:space="0" w:color="00B050"/>
              <w:right w:val="single" w:sz="4" w:space="0" w:color="00B050"/>
            </w:tcBorders>
            <w:shd w:val="clear" w:color="auto" w:fill="auto"/>
            <w:noWrap/>
            <w:vAlign w:val="bottom"/>
            <w:hideMark/>
          </w:tcPr>
          <w:p w14:paraId="4E3685BF" w14:textId="77777777" w:rsidR="001D7DAF" w:rsidRPr="001D7DAF" w:rsidRDefault="001D7DAF" w:rsidP="001D7DAF">
            <w:pPr>
              <w:jc w:val="right"/>
              <w:rPr>
                <w:rFonts w:cstheme="minorHAnsi"/>
                <w:bCs/>
                <w:sz w:val="24"/>
                <w:szCs w:val="24"/>
              </w:rPr>
            </w:pPr>
            <w:r w:rsidRPr="001D7DAF">
              <w:rPr>
                <w:rFonts w:cstheme="minorHAnsi"/>
                <w:bCs/>
                <w:sz w:val="24"/>
                <w:szCs w:val="24"/>
              </w:rPr>
              <w:t>Total</w:t>
            </w:r>
          </w:p>
        </w:tc>
        <w:tc>
          <w:tcPr>
            <w:tcW w:w="1134" w:type="dxa"/>
            <w:tcBorders>
              <w:top w:val="nil"/>
              <w:left w:val="nil"/>
              <w:bottom w:val="single" w:sz="4" w:space="0" w:color="00B050"/>
              <w:right w:val="single" w:sz="4" w:space="0" w:color="00B050"/>
            </w:tcBorders>
            <w:shd w:val="clear" w:color="auto" w:fill="auto"/>
            <w:noWrap/>
            <w:vAlign w:val="center"/>
            <w:hideMark/>
          </w:tcPr>
          <w:p w14:paraId="1CB5C6EE" w14:textId="77777777" w:rsidR="001D7DAF" w:rsidRPr="001D7DAF" w:rsidRDefault="001D7DAF" w:rsidP="001D7DAF">
            <w:pPr>
              <w:jc w:val="right"/>
              <w:rPr>
                <w:rFonts w:cstheme="minorHAnsi"/>
                <w:bCs/>
                <w:sz w:val="24"/>
                <w:szCs w:val="24"/>
              </w:rPr>
            </w:pPr>
            <w:r w:rsidRPr="001D7DAF">
              <w:rPr>
                <w:rFonts w:cstheme="minorHAnsi"/>
                <w:color w:val="000000"/>
                <w:sz w:val="24"/>
                <w:szCs w:val="24"/>
              </w:rPr>
              <w:t>2057</w:t>
            </w:r>
          </w:p>
        </w:tc>
        <w:tc>
          <w:tcPr>
            <w:tcW w:w="1134" w:type="dxa"/>
            <w:tcBorders>
              <w:top w:val="nil"/>
              <w:left w:val="nil"/>
              <w:bottom w:val="single" w:sz="4" w:space="0" w:color="00B050"/>
              <w:right w:val="single" w:sz="4" w:space="0" w:color="00B050"/>
            </w:tcBorders>
            <w:shd w:val="clear" w:color="auto" w:fill="auto"/>
            <w:noWrap/>
            <w:vAlign w:val="center"/>
          </w:tcPr>
          <w:p w14:paraId="049D6A70" w14:textId="47554681" w:rsidR="001D7DAF" w:rsidRPr="001D7DAF" w:rsidRDefault="001D7DAF" w:rsidP="001D7DAF">
            <w:pPr>
              <w:jc w:val="right"/>
              <w:rPr>
                <w:rFonts w:cstheme="minorHAnsi"/>
                <w:bCs/>
                <w:sz w:val="24"/>
                <w:szCs w:val="24"/>
              </w:rPr>
            </w:pPr>
            <w:r w:rsidRPr="001D7DAF">
              <w:rPr>
                <w:rFonts w:cstheme="minorHAnsi"/>
                <w:color w:val="000000"/>
                <w:sz w:val="24"/>
                <w:szCs w:val="24"/>
              </w:rPr>
              <w:t>100.0%</w:t>
            </w:r>
          </w:p>
        </w:tc>
        <w:tc>
          <w:tcPr>
            <w:tcW w:w="1701" w:type="dxa"/>
            <w:tcBorders>
              <w:top w:val="nil"/>
              <w:left w:val="nil"/>
              <w:bottom w:val="single" w:sz="4" w:space="0" w:color="00B050"/>
              <w:right w:val="single" w:sz="4" w:space="0" w:color="00B050"/>
            </w:tcBorders>
            <w:vAlign w:val="center"/>
          </w:tcPr>
          <w:p w14:paraId="4CA4B134" w14:textId="094A5D44" w:rsidR="001D7DAF" w:rsidRPr="001D7DAF" w:rsidRDefault="001D7DAF" w:rsidP="001D7DAF">
            <w:pPr>
              <w:jc w:val="right"/>
              <w:rPr>
                <w:rFonts w:cstheme="minorHAnsi"/>
                <w:bCs/>
                <w:sz w:val="24"/>
                <w:szCs w:val="24"/>
              </w:rPr>
            </w:pPr>
            <w:r w:rsidRPr="001D7DAF">
              <w:rPr>
                <w:rFonts w:cstheme="minorHAnsi"/>
                <w:sz w:val="24"/>
                <w:szCs w:val="24"/>
              </w:rPr>
              <w:t>74,376</w:t>
            </w:r>
          </w:p>
        </w:tc>
        <w:tc>
          <w:tcPr>
            <w:tcW w:w="1276" w:type="dxa"/>
            <w:tcBorders>
              <w:top w:val="nil"/>
              <w:left w:val="nil"/>
              <w:bottom w:val="single" w:sz="4" w:space="0" w:color="00B050"/>
              <w:right w:val="single" w:sz="4" w:space="0" w:color="00B050"/>
            </w:tcBorders>
            <w:vAlign w:val="center"/>
          </w:tcPr>
          <w:p w14:paraId="238FB168" w14:textId="6B0CB10E" w:rsidR="001D7DAF" w:rsidRPr="001D7DAF" w:rsidRDefault="001D7DAF" w:rsidP="001D7DAF">
            <w:pPr>
              <w:jc w:val="right"/>
              <w:rPr>
                <w:rFonts w:cstheme="minorHAnsi"/>
                <w:bCs/>
                <w:sz w:val="24"/>
                <w:szCs w:val="24"/>
              </w:rPr>
            </w:pPr>
            <w:r w:rsidRPr="001D7DAF">
              <w:rPr>
                <w:rFonts w:cstheme="minorHAnsi"/>
                <w:color w:val="000000"/>
                <w:sz w:val="24"/>
                <w:szCs w:val="24"/>
              </w:rPr>
              <w:t>100.0%</w:t>
            </w:r>
          </w:p>
        </w:tc>
      </w:tr>
    </w:tbl>
    <w:p w14:paraId="4067B5D0" w14:textId="77777777" w:rsidR="00003903" w:rsidRDefault="00003903" w:rsidP="00003903">
      <w:pPr>
        <w:rPr>
          <w:rFonts w:cs="Arial"/>
          <w:sz w:val="24"/>
          <w:szCs w:val="24"/>
        </w:rPr>
      </w:pPr>
      <w:r>
        <w:rPr>
          <w:rFonts w:cs="Arial"/>
          <w:sz w:val="24"/>
          <w:szCs w:val="24"/>
        </w:rPr>
        <w:t>S</w:t>
      </w:r>
      <w:r w:rsidRPr="00580BD2">
        <w:rPr>
          <w:rFonts w:cs="Arial"/>
          <w:sz w:val="24"/>
          <w:szCs w:val="24"/>
        </w:rPr>
        <w:t>ource: Sandwell Children’s Trust</w:t>
      </w:r>
    </w:p>
    <w:p w14:paraId="3FDC7769" w14:textId="77777777" w:rsidR="002E55EE" w:rsidRDefault="002E55EE" w:rsidP="00003903">
      <w:pPr>
        <w:rPr>
          <w:rFonts w:cs="Arial"/>
          <w:sz w:val="24"/>
          <w:szCs w:val="24"/>
        </w:rPr>
      </w:pPr>
    </w:p>
    <w:p w14:paraId="65B6B9D0" w14:textId="5CBFA9A8" w:rsidR="00003903" w:rsidRPr="00580BD2" w:rsidRDefault="00003903" w:rsidP="00003903">
      <w:pPr>
        <w:rPr>
          <w:rFonts w:cs="Arial"/>
          <w:sz w:val="24"/>
          <w:szCs w:val="24"/>
        </w:rPr>
      </w:pPr>
      <w:r>
        <w:rPr>
          <w:rFonts w:cs="Arial"/>
          <w:sz w:val="24"/>
          <w:szCs w:val="24"/>
        </w:rPr>
        <w:t>As Table 3.</w:t>
      </w:r>
      <w:r w:rsidR="00D05BB1">
        <w:rPr>
          <w:rFonts w:cs="Arial"/>
          <w:sz w:val="24"/>
          <w:szCs w:val="24"/>
        </w:rPr>
        <w:t>5</w:t>
      </w:r>
      <w:r>
        <w:rPr>
          <w:rFonts w:cs="Arial"/>
          <w:sz w:val="24"/>
          <w:szCs w:val="24"/>
        </w:rPr>
        <w:t xml:space="preserve"> shows, t</w:t>
      </w:r>
      <w:r w:rsidRPr="00580BD2">
        <w:rPr>
          <w:rFonts w:cs="Arial"/>
          <w:sz w:val="24"/>
          <w:szCs w:val="24"/>
        </w:rPr>
        <w:t>he proportion of children in need is greatest from ‘mixed’ ethnic backgrounds and Black or Black British population</w:t>
      </w:r>
      <w:r w:rsidR="001D7DAF">
        <w:rPr>
          <w:rFonts w:cs="Arial"/>
          <w:sz w:val="24"/>
          <w:szCs w:val="24"/>
        </w:rPr>
        <w:t>, with these groups being over-represented in the proportion of cases compared to the ethnicity profile of Sandwell</w:t>
      </w:r>
      <w:r w:rsidRPr="00580BD2">
        <w:rPr>
          <w:rFonts w:cs="Arial"/>
          <w:sz w:val="24"/>
          <w:szCs w:val="24"/>
        </w:rPr>
        <w:t xml:space="preserve">. </w:t>
      </w:r>
    </w:p>
    <w:p w14:paraId="3C253EBD" w14:textId="77777777" w:rsidR="002E55EE" w:rsidRDefault="001D7DAF" w:rsidP="005B1F6D">
      <w:pPr>
        <w:pStyle w:val="Heading2"/>
      </w:pPr>
      <w:bookmarkStart w:id="27" w:name="_Hlk13839346"/>
      <w:r>
        <w:br/>
      </w:r>
    </w:p>
    <w:p w14:paraId="10B49DC3" w14:textId="77777777" w:rsidR="002E55EE" w:rsidRDefault="002E55EE">
      <w:pPr>
        <w:spacing w:after="160" w:line="259" w:lineRule="auto"/>
        <w:rPr>
          <w:rFonts w:eastAsiaTheme="majorEastAsia" w:cstheme="majorBidi"/>
          <w:color w:val="2F5496" w:themeColor="accent1" w:themeShade="BF"/>
          <w:sz w:val="26"/>
          <w:szCs w:val="26"/>
        </w:rPr>
      </w:pPr>
      <w:r>
        <w:br w:type="page"/>
      </w:r>
    </w:p>
    <w:p w14:paraId="4E73E11D" w14:textId="7BE4B9B0" w:rsidR="00003903" w:rsidRDefault="00003903" w:rsidP="005B1F6D">
      <w:pPr>
        <w:pStyle w:val="Heading2"/>
      </w:pPr>
      <w:r w:rsidRPr="002F2ED0">
        <w:t>Child Protection Plan</w:t>
      </w:r>
      <w:bookmarkEnd w:id="27"/>
      <w:r w:rsidRPr="002F2ED0">
        <w:t>s</w:t>
      </w:r>
    </w:p>
    <w:p w14:paraId="4E8FF18C" w14:textId="77777777" w:rsidR="00003903" w:rsidRPr="00DE6210" w:rsidRDefault="00003903" w:rsidP="00003903">
      <w:pPr>
        <w:rPr>
          <w:rFonts w:cstheme="minorHAnsi"/>
          <w:sz w:val="24"/>
          <w:szCs w:val="24"/>
        </w:rPr>
      </w:pPr>
      <w:r w:rsidRPr="00DE6210">
        <w:rPr>
          <w:rFonts w:cstheme="minorHAnsi"/>
          <w:sz w:val="24"/>
          <w:szCs w:val="24"/>
        </w:rPr>
        <w:t>If a child is considered to be suffering, or likely to suffer, significant harm the local authority will make them the subject of a child protection plan.</w:t>
      </w:r>
    </w:p>
    <w:p w14:paraId="05BC491B" w14:textId="77777777" w:rsidR="007A686F" w:rsidRDefault="007A686F" w:rsidP="00003903">
      <w:pPr>
        <w:rPr>
          <w:rFonts w:cstheme="majorHAnsi"/>
          <w:b/>
          <w:sz w:val="24"/>
          <w:szCs w:val="24"/>
        </w:rPr>
      </w:pPr>
    </w:p>
    <w:p w14:paraId="3F2B5E14" w14:textId="04888E00" w:rsidR="00003903" w:rsidRPr="001833A5" w:rsidRDefault="00003903" w:rsidP="00003903">
      <w:pPr>
        <w:rPr>
          <w:rFonts w:cstheme="majorHAnsi"/>
          <w:b/>
          <w:sz w:val="24"/>
          <w:szCs w:val="24"/>
        </w:rPr>
      </w:pPr>
      <w:r w:rsidRPr="001833A5">
        <w:rPr>
          <w:rFonts w:cstheme="majorHAnsi"/>
          <w:b/>
          <w:sz w:val="24"/>
          <w:szCs w:val="24"/>
        </w:rPr>
        <w:t xml:space="preserve">Figure 3.6: Rate of children who were the subject of a child protection plan </w:t>
      </w:r>
      <w:r>
        <w:rPr>
          <w:rFonts w:cstheme="majorHAnsi"/>
          <w:b/>
          <w:sz w:val="24"/>
          <w:szCs w:val="24"/>
        </w:rPr>
        <w:t xml:space="preserve">as </w:t>
      </w:r>
      <w:r w:rsidRPr="001833A5">
        <w:rPr>
          <w:rFonts w:cstheme="majorHAnsi"/>
          <w:b/>
          <w:sz w:val="24"/>
          <w:szCs w:val="24"/>
        </w:rPr>
        <w:t xml:space="preserve">at </w:t>
      </w:r>
      <w:r>
        <w:rPr>
          <w:rFonts w:cstheme="majorHAnsi"/>
          <w:b/>
          <w:sz w:val="24"/>
          <w:szCs w:val="24"/>
        </w:rPr>
        <w:t>31</w:t>
      </w:r>
      <w:r w:rsidRPr="000A60F2">
        <w:rPr>
          <w:rFonts w:cstheme="majorHAnsi"/>
          <w:b/>
          <w:sz w:val="24"/>
          <w:szCs w:val="24"/>
          <w:vertAlign w:val="superscript"/>
        </w:rPr>
        <w:t>st</w:t>
      </w:r>
      <w:r>
        <w:rPr>
          <w:rFonts w:cstheme="majorHAnsi"/>
          <w:b/>
          <w:sz w:val="24"/>
          <w:szCs w:val="24"/>
        </w:rPr>
        <w:t xml:space="preserve"> March</w:t>
      </w:r>
      <w:r w:rsidRPr="001833A5">
        <w:rPr>
          <w:rFonts w:cstheme="majorHAnsi"/>
          <w:b/>
          <w:sz w:val="24"/>
          <w:szCs w:val="24"/>
        </w:rPr>
        <w:t xml:space="preserve"> per 10,000 children (0-17 year olds)</w:t>
      </w:r>
    </w:p>
    <w:p w14:paraId="7DC4FE5B" w14:textId="77777777" w:rsidR="00003903" w:rsidRPr="00580BD2" w:rsidRDefault="00003903" w:rsidP="00003903">
      <w:pPr>
        <w:spacing w:before="45" w:after="45" w:line="240" w:lineRule="auto"/>
        <w:rPr>
          <w:rFonts w:eastAsia="Times New Roman" w:cs="Arial"/>
          <w:color w:val="333333"/>
          <w:sz w:val="24"/>
          <w:szCs w:val="24"/>
          <w:lang w:eastAsia="en-GB"/>
        </w:rPr>
      </w:pPr>
      <w:r>
        <w:rPr>
          <w:noProof/>
        </w:rPr>
        <w:drawing>
          <wp:inline distT="0" distB="0" distL="0" distR="0" wp14:anchorId="01EA5D9B" wp14:editId="48ED0846">
            <wp:extent cx="5530850" cy="3536950"/>
            <wp:effectExtent l="0" t="0" r="12700" b="6350"/>
            <wp:docPr id="42" name="Chart 42">
              <a:extLst xmlns:a="http://schemas.openxmlformats.org/drawingml/2006/main">
                <a:ext uri="{FF2B5EF4-FFF2-40B4-BE49-F238E27FC236}">
                  <a16:creationId xmlns:a16="http://schemas.microsoft.com/office/drawing/2014/main" id="{46A54261-F30A-47B1-B164-B7A673138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95ED8C8" w14:textId="77777777" w:rsidR="00003903" w:rsidRPr="005B1F6D" w:rsidRDefault="00003903" w:rsidP="005B1F6D">
      <w:pPr>
        <w:rPr>
          <w:sz w:val="24"/>
          <w:szCs w:val="24"/>
        </w:rPr>
      </w:pPr>
      <w:r w:rsidRPr="005B1F6D">
        <w:rPr>
          <w:sz w:val="24"/>
          <w:szCs w:val="24"/>
        </w:rPr>
        <w:t>Source: Sandwell Children’s Trust</w:t>
      </w:r>
    </w:p>
    <w:p w14:paraId="16AF1D8B" w14:textId="77777777" w:rsidR="00003903" w:rsidRDefault="00003903" w:rsidP="00003903">
      <w:pPr>
        <w:rPr>
          <w:rFonts w:cstheme="majorHAnsi"/>
          <w:sz w:val="24"/>
          <w:szCs w:val="24"/>
        </w:rPr>
      </w:pPr>
    </w:p>
    <w:p w14:paraId="570D0967" w14:textId="77777777" w:rsidR="00003903" w:rsidRPr="001833A5" w:rsidRDefault="00003903" w:rsidP="00003903">
      <w:pPr>
        <w:rPr>
          <w:rFonts w:cstheme="majorHAnsi"/>
          <w:sz w:val="24"/>
          <w:szCs w:val="24"/>
          <w:u w:val="single"/>
        </w:rPr>
      </w:pPr>
      <w:r w:rsidRPr="001833A5">
        <w:rPr>
          <w:rFonts w:cstheme="majorHAnsi"/>
          <w:sz w:val="24"/>
          <w:szCs w:val="24"/>
        </w:rPr>
        <w:t xml:space="preserve">Sandwell had a rate of </w:t>
      </w:r>
      <w:r>
        <w:rPr>
          <w:rFonts w:cstheme="majorHAnsi"/>
          <w:sz w:val="24"/>
          <w:szCs w:val="24"/>
        </w:rPr>
        <w:t>71</w:t>
      </w:r>
      <w:r w:rsidRPr="001833A5">
        <w:rPr>
          <w:rFonts w:cstheme="majorHAnsi"/>
          <w:sz w:val="24"/>
          <w:szCs w:val="24"/>
        </w:rPr>
        <w:t xml:space="preserve"> per 10,000 children (age 0-17) on a child protection plan in </w:t>
      </w:r>
      <w:r>
        <w:rPr>
          <w:rFonts w:cstheme="majorHAnsi"/>
          <w:sz w:val="24"/>
          <w:szCs w:val="24"/>
        </w:rPr>
        <w:t xml:space="preserve">March </w:t>
      </w:r>
      <w:r w:rsidRPr="001833A5">
        <w:rPr>
          <w:rFonts w:cstheme="majorHAnsi"/>
          <w:sz w:val="24"/>
          <w:szCs w:val="24"/>
        </w:rPr>
        <w:t>20</w:t>
      </w:r>
      <w:r>
        <w:rPr>
          <w:rFonts w:cstheme="majorHAnsi"/>
          <w:sz w:val="24"/>
          <w:szCs w:val="24"/>
        </w:rPr>
        <w:t>19</w:t>
      </w:r>
      <w:r w:rsidRPr="001833A5">
        <w:rPr>
          <w:rFonts w:cstheme="majorHAnsi"/>
          <w:sz w:val="24"/>
          <w:szCs w:val="24"/>
        </w:rPr>
        <w:t>. This rate has increas</w:t>
      </w:r>
      <w:r>
        <w:rPr>
          <w:rFonts w:cstheme="majorHAnsi"/>
          <w:sz w:val="24"/>
          <w:szCs w:val="24"/>
        </w:rPr>
        <w:t>ed</w:t>
      </w:r>
      <w:r w:rsidRPr="001833A5">
        <w:rPr>
          <w:rFonts w:cstheme="majorHAnsi"/>
          <w:sz w:val="24"/>
          <w:szCs w:val="24"/>
        </w:rPr>
        <w:t xml:space="preserve"> since 2014/15</w:t>
      </w:r>
      <w:r>
        <w:rPr>
          <w:rFonts w:cstheme="majorHAnsi"/>
          <w:sz w:val="24"/>
          <w:szCs w:val="24"/>
        </w:rPr>
        <w:t>, but there was a large fall over the most recent year</w:t>
      </w:r>
      <w:r w:rsidRPr="001833A5">
        <w:rPr>
          <w:rFonts w:cstheme="majorHAnsi"/>
          <w:sz w:val="24"/>
          <w:szCs w:val="24"/>
        </w:rPr>
        <w:t xml:space="preserve">. </w:t>
      </w:r>
    </w:p>
    <w:p w14:paraId="2A2E9F31" w14:textId="77777777" w:rsidR="00003903" w:rsidRPr="00580BD2" w:rsidRDefault="00003903" w:rsidP="002E55EE">
      <w:pPr>
        <w:pStyle w:val="ListParagraph"/>
        <w:numPr>
          <w:ilvl w:val="0"/>
          <w:numId w:val="5"/>
        </w:numPr>
        <w:ind w:left="714" w:hanging="357"/>
        <w:contextualSpacing w:val="0"/>
        <w:rPr>
          <w:rFonts w:cstheme="majorHAnsi"/>
          <w:sz w:val="24"/>
          <w:szCs w:val="24"/>
          <w:u w:val="single"/>
        </w:rPr>
      </w:pPr>
      <w:r>
        <w:rPr>
          <w:rFonts w:cstheme="majorHAnsi"/>
          <w:sz w:val="24"/>
          <w:szCs w:val="24"/>
        </w:rPr>
        <w:t xml:space="preserve">Between March 2018 and March </w:t>
      </w:r>
      <w:r w:rsidRPr="00580BD2">
        <w:rPr>
          <w:rFonts w:cstheme="majorHAnsi"/>
          <w:sz w:val="24"/>
          <w:szCs w:val="24"/>
        </w:rPr>
        <w:t>20</w:t>
      </w:r>
      <w:r>
        <w:rPr>
          <w:rFonts w:cstheme="majorHAnsi"/>
          <w:sz w:val="24"/>
          <w:szCs w:val="24"/>
        </w:rPr>
        <w:t>19</w:t>
      </w:r>
      <w:r w:rsidRPr="00580BD2">
        <w:rPr>
          <w:rFonts w:cstheme="majorHAnsi"/>
          <w:sz w:val="24"/>
          <w:szCs w:val="24"/>
        </w:rPr>
        <w:t xml:space="preserve"> </w:t>
      </w:r>
      <w:r>
        <w:rPr>
          <w:rFonts w:cstheme="majorHAnsi"/>
          <w:sz w:val="24"/>
          <w:szCs w:val="24"/>
        </w:rPr>
        <w:t xml:space="preserve">there was a fall of </w:t>
      </w:r>
      <w:r w:rsidRPr="00580BD2">
        <w:rPr>
          <w:rFonts w:cstheme="majorHAnsi"/>
          <w:sz w:val="24"/>
          <w:szCs w:val="24"/>
        </w:rPr>
        <w:t>3</w:t>
      </w:r>
      <w:r>
        <w:rPr>
          <w:rFonts w:cstheme="majorHAnsi"/>
          <w:sz w:val="24"/>
          <w:szCs w:val="24"/>
        </w:rPr>
        <w:t>0</w:t>
      </w:r>
      <w:r w:rsidRPr="00580BD2">
        <w:rPr>
          <w:rFonts w:cstheme="majorHAnsi"/>
          <w:sz w:val="24"/>
          <w:szCs w:val="24"/>
        </w:rPr>
        <w:t>.</w:t>
      </w:r>
      <w:r>
        <w:rPr>
          <w:rFonts w:cstheme="majorHAnsi"/>
          <w:sz w:val="24"/>
          <w:szCs w:val="24"/>
        </w:rPr>
        <w:t>3</w:t>
      </w:r>
      <w:r w:rsidRPr="00580BD2">
        <w:rPr>
          <w:rFonts w:cstheme="majorHAnsi"/>
          <w:sz w:val="24"/>
          <w:szCs w:val="24"/>
        </w:rPr>
        <w:t xml:space="preserve">% in </w:t>
      </w:r>
      <w:r>
        <w:rPr>
          <w:rFonts w:cstheme="majorHAnsi"/>
          <w:sz w:val="24"/>
          <w:szCs w:val="24"/>
        </w:rPr>
        <w:t xml:space="preserve">the </w:t>
      </w:r>
      <w:r w:rsidRPr="00580BD2">
        <w:rPr>
          <w:rFonts w:cstheme="majorHAnsi"/>
          <w:sz w:val="24"/>
          <w:szCs w:val="24"/>
        </w:rPr>
        <w:t>rate</w:t>
      </w:r>
      <w:r>
        <w:rPr>
          <w:rFonts w:cstheme="majorHAnsi"/>
          <w:sz w:val="24"/>
          <w:szCs w:val="24"/>
        </w:rPr>
        <w:t xml:space="preserve"> of children subject to a child protection plan.</w:t>
      </w:r>
    </w:p>
    <w:p w14:paraId="599DEE6B" w14:textId="77777777" w:rsidR="00003903" w:rsidRPr="00A51FD4" w:rsidRDefault="00003903" w:rsidP="002E55EE">
      <w:pPr>
        <w:pStyle w:val="ListParagraph"/>
        <w:numPr>
          <w:ilvl w:val="0"/>
          <w:numId w:val="5"/>
        </w:numPr>
        <w:ind w:left="714" w:hanging="357"/>
        <w:contextualSpacing w:val="0"/>
        <w:rPr>
          <w:rFonts w:cstheme="majorHAnsi"/>
          <w:sz w:val="24"/>
          <w:szCs w:val="24"/>
          <w:u w:val="single"/>
        </w:rPr>
      </w:pPr>
      <w:r w:rsidRPr="001833A5">
        <w:rPr>
          <w:rFonts w:cstheme="majorHAnsi"/>
          <w:sz w:val="24"/>
          <w:szCs w:val="24"/>
        </w:rPr>
        <w:t>In previous years, Sandwell’s rate has been lower than its statistical neighbours. However, in 2017/18 Sandwell s</w:t>
      </w:r>
      <w:r>
        <w:rPr>
          <w:rFonts w:cstheme="majorHAnsi"/>
          <w:sz w:val="24"/>
          <w:szCs w:val="24"/>
        </w:rPr>
        <w:t>aw</w:t>
      </w:r>
      <w:r w:rsidRPr="001833A5">
        <w:rPr>
          <w:rFonts w:cstheme="majorHAnsi"/>
          <w:sz w:val="24"/>
          <w:szCs w:val="24"/>
        </w:rPr>
        <w:t xml:space="preserve"> a substantial increase and </w:t>
      </w:r>
      <w:r>
        <w:rPr>
          <w:rFonts w:cstheme="majorHAnsi"/>
          <w:sz w:val="24"/>
          <w:szCs w:val="24"/>
        </w:rPr>
        <w:t>moved to a higher rate than statistical neighbours</w:t>
      </w:r>
      <w:r w:rsidRPr="001833A5">
        <w:rPr>
          <w:rFonts w:cstheme="majorHAnsi"/>
          <w:sz w:val="24"/>
          <w:szCs w:val="24"/>
        </w:rPr>
        <w:t xml:space="preserve"> </w:t>
      </w:r>
      <w:r>
        <w:rPr>
          <w:rFonts w:cstheme="majorHAnsi"/>
          <w:sz w:val="24"/>
          <w:szCs w:val="24"/>
        </w:rPr>
        <w:t>– this has continued in March 2019 (S</w:t>
      </w:r>
      <w:r w:rsidRPr="001833A5">
        <w:rPr>
          <w:rFonts w:cstheme="majorHAnsi"/>
          <w:sz w:val="24"/>
          <w:szCs w:val="24"/>
        </w:rPr>
        <w:t>andwell</w:t>
      </w:r>
      <w:r>
        <w:rPr>
          <w:rFonts w:cstheme="majorHAnsi"/>
          <w:sz w:val="24"/>
          <w:szCs w:val="24"/>
        </w:rPr>
        <w:t>’s</w:t>
      </w:r>
      <w:r w:rsidRPr="001833A5">
        <w:rPr>
          <w:rFonts w:cstheme="majorHAnsi"/>
          <w:sz w:val="24"/>
          <w:szCs w:val="24"/>
        </w:rPr>
        <w:t xml:space="preserve"> </w:t>
      </w:r>
      <w:r>
        <w:rPr>
          <w:rFonts w:cstheme="majorHAnsi"/>
          <w:sz w:val="24"/>
          <w:szCs w:val="24"/>
        </w:rPr>
        <w:t>rate of 71 per 10,000 compares to the average for s</w:t>
      </w:r>
      <w:r w:rsidRPr="001833A5">
        <w:rPr>
          <w:rFonts w:cstheme="majorHAnsi"/>
          <w:sz w:val="24"/>
          <w:szCs w:val="24"/>
        </w:rPr>
        <w:t xml:space="preserve">tatistical </w:t>
      </w:r>
      <w:r>
        <w:rPr>
          <w:rFonts w:cstheme="majorHAnsi"/>
          <w:sz w:val="24"/>
          <w:szCs w:val="24"/>
        </w:rPr>
        <w:t>n</w:t>
      </w:r>
      <w:r w:rsidRPr="001833A5">
        <w:rPr>
          <w:rFonts w:cstheme="majorHAnsi"/>
          <w:sz w:val="24"/>
          <w:szCs w:val="24"/>
        </w:rPr>
        <w:t xml:space="preserve">eighbours </w:t>
      </w:r>
      <w:r>
        <w:rPr>
          <w:rFonts w:cstheme="majorHAnsi"/>
          <w:sz w:val="24"/>
          <w:szCs w:val="24"/>
        </w:rPr>
        <w:t>of 54 per 10,000)</w:t>
      </w:r>
      <w:r w:rsidRPr="005B7361">
        <w:rPr>
          <w:rFonts w:eastAsia="Times New Roman"/>
          <w:sz w:val="24"/>
          <w:szCs w:val="24"/>
        </w:rPr>
        <w:t>.</w:t>
      </w:r>
    </w:p>
    <w:p w14:paraId="1AD073FD" w14:textId="77777777" w:rsidR="00003903" w:rsidRPr="00A51FD4" w:rsidRDefault="00003903" w:rsidP="002E55EE">
      <w:pPr>
        <w:pStyle w:val="ListParagraph"/>
        <w:numPr>
          <w:ilvl w:val="0"/>
          <w:numId w:val="5"/>
        </w:numPr>
        <w:ind w:left="714" w:hanging="357"/>
        <w:contextualSpacing w:val="0"/>
        <w:rPr>
          <w:rFonts w:cstheme="majorHAnsi"/>
          <w:sz w:val="24"/>
          <w:szCs w:val="24"/>
          <w:u w:val="single"/>
        </w:rPr>
      </w:pPr>
      <w:r w:rsidRPr="00A51FD4">
        <w:rPr>
          <w:rFonts w:eastAsia="Times New Roman"/>
          <w:sz w:val="24"/>
          <w:szCs w:val="24"/>
        </w:rPr>
        <w:t>The increase during 2017/18 is due to the complex interplay between many factors, that include</w:t>
      </w:r>
      <w:r>
        <w:rPr>
          <w:rFonts w:eastAsia="Times New Roman"/>
          <w:sz w:val="24"/>
          <w:szCs w:val="24"/>
        </w:rPr>
        <w:t>: working in a more robust way with families where neglect is a concern and managing the confidence of our partners and staff.</w:t>
      </w:r>
    </w:p>
    <w:p w14:paraId="49FE60B7" w14:textId="77777777" w:rsidR="00003903" w:rsidRDefault="00003903" w:rsidP="00003903">
      <w:pPr>
        <w:rPr>
          <w:rFonts w:cs="Arial"/>
          <w:sz w:val="24"/>
          <w:szCs w:val="24"/>
        </w:rPr>
      </w:pPr>
    </w:p>
    <w:p w14:paraId="3ED121F9" w14:textId="1A198036" w:rsidR="00003903" w:rsidRPr="0064057C" w:rsidRDefault="00003903" w:rsidP="00003903">
      <w:pPr>
        <w:rPr>
          <w:rFonts w:cs="Arial"/>
          <w:b/>
          <w:sz w:val="24"/>
          <w:szCs w:val="24"/>
        </w:rPr>
      </w:pPr>
      <w:r w:rsidRPr="0064057C">
        <w:rPr>
          <w:rFonts w:cs="Arial"/>
          <w:b/>
          <w:sz w:val="24"/>
          <w:szCs w:val="24"/>
        </w:rPr>
        <w:t xml:space="preserve">Figure 3.7: Sandwell Child Protection Plans by age as at </w:t>
      </w:r>
      <w:r>
        <w:rPr>
          <w:rFonts w:cs="Arial"/>
          <w:b/>
          <w:sz w:val="24"/>
          <w:szCs w:val="24"/>
        </w:rPr>
        <w:t>31</w:t>
      </w:r>
      <w:r w:rsidRPr="003523D3">
        <w:rPr>
          <w:rFonts w:cs="Arial"/>
          <w:b/>
          <w:sz w:val="24"/>
          <w:szCs w:val="24"/>
          <w:vertAlign w:val="superscript"/>
        </w:rPr>
        <w:t>st</w:t>
      </w:r>
      <w:r>
        <w:rPr>
          <w:rFonts w:cs="Arial"/>
          <w:b/>
          <w:sz w:val="24"/>
          <w:szCs w:val="24"/>
        </w:rPr>
        <w:t xml:space="preserve"> </w:t>
      </w:r>
      <w:r w:rsidRPr="0064057C">
        <w:rPr>
          <w:rFonts w:cs="Arial"/>
          <w:b/>
          <w:sz w:val="24"/>
          <w:szCs w:val="24"/>
        </w:rPr>
        <w:t>March 2017 to 2019</w:t>
      </w:r>
    </w:p>
    <w:p w14:paraId="781130F5" w14:textId="77777777" w:rsidR="00003903" w:rsidRPr="00580BD2" w:rsidRDefault="00003903" w:rsidP="00003903">
      <w:pPr>
        <w:rPr>
          <w:rFonts w:cs="Arial"/>
          <w:color w:val="FF0000"/>
          <w:sz w:val="24"/>
          <w:szCs w:val="24"/>
        </w:rPr>
      </w:pPr>
      <w:r w:rsidRPr="00580BD2">
        <w:rPr>
          <w:noProof/>
          <w:sz w:val="24"/>
          <w:szCs w:val="24"/>
        </w:rPr>
        <w:drawing>
          <wp:inline distT="0" distB="0" distL="0" distR="0" wp14:anchorId="34578E1F" wp14:editId="48632E8F">
            <wp:extent cx="5731510" cy="3463290"/>
            <wp:effectExtent l="0" t="0" r="2540" b="3810"/>
            <wp:docPr id="22" name="Chart 22">
              <a:extLst xmlns:a="http://schemas.openxmlformats.org/drawingml/2006/main">
                <a:ext uri="{FF2B5EF4-FFF2-40B4-BE49-F238E27FC236}">
                  <a16:creationId xmlns:a16="http://schemas.microsoft.com/office/drawing/2014/main" id="{EF419BE3-1D36-4CD5-A33C-770987F8F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6902F99" w14:textId="77777777" w:rsidR="00003903" w:rsidRPr="00580BD2" w:rsidRDefault="00003903" w:rsidP="00003903">
      <w:pPr>
        <w:rPr>
          <w:rFonts w:cs="Arial"/>
          <w:b/>
          <w:color w:val="FF0000"/>
          <w:sz w:val="24"/>
          <w:szCs w:val="24"/>
        </w:rPr>
      </w:pPr>
      <w:r w:rsidRPr="00580BD2">
        <w:rPr>
          <w:rFonts w:cs="Arial"/>
          <w:sz w:val="24"/>
          <w:szCs w:val="24"/>
        </w:rPr>
        <w:t xml:space="preserve">Source: </w:t>
      </w:r>
      <w:r w:rsidRPr="0064057C">
        <w:rPr>
          <w:sz w:val="24"/>
          <w:szCs w:val="24"/>
        </w:rPr>
        <w:t>Sandwell Children’s Trust</w:t>
      </w:r>
    </w:p>
    <w:p w14:paraId="247EDF85" w14:textId="77777777" w:rsidR="00003903" w:rsidRDefault="00003903" w:rsidP="00003903">
      <w:pPr>
        <w:rPr>
          <w:rFonts w:cs="Arial"/>
          <w:sz w:val="24"/>
          <w:szCs w:val="24"/>
        </w:rPr>
      </w:pPr>
    </w:p>
    <w:p w14:paraId="3251AA1D" w14:textId="77777777" w:rsidR="00003903" w:rsidRPr="00580BD2" w:rsidRDefault="00003903" w:rsidP="00003903">
      <w:pPr>
        <w:rPr>
          <w:rFonts w:cs="Arial"/>
          <w:sz w:val="24"/>
          <w:szCs w:val="24"/>
        </w:rPr>
      </w:pPr>
      <w:r w:rsidRPr="00580BD2">
        <w:rPr>
          <w:rFonts w:cs="Arial"/>
          <w:sz w:val="24"/>
          <w:szCs w:val="24"/>
        </w:rPr>
        <w:t xml:space="preserve">The number of child protection plans by age is presented in Figure </w:t>
      </w:r>
      <w:r>
        <w:rPr>
          <w:rFonts w:cs="Arial"/>
          <w:sz w:val="24"/>
          <w:szCs w:val="24"/>
        </w:rPr>
        <w:t>3.7</w:t>
      </w:r>
      <w:r w:rsidRPr="00580BD2">
        <w:rPr>
          <w:rFonts w:cs="Arial"/>
          <w:sz w:val="24"/>
          <w:szCs w:val="24"/>
        </w:rPr>
        <w:t xml:space="preserve">. </w:t>
      </w:r>
      <w:r>
        <w:rPr>
          <w:rFonts w:cs="Arial"/>
          <w:sz w:val="24"/>
          <w:szCs w:val="24"/>
        </w:rPr>
        <w:t>The age breakdown for the figure below is defined by the Department for Education.</w:t>
      </w:r>
    </w:p>
    <w:p w14:paraId="01F7E83D" w14:textId="77777777" w:rsidR="00003903" w:rsidRPr="00580BD2" w:rsidRDefault="00003903" w:rsidP="00003903">
      <w:pPr>
        <w:rPr>
          <w:rFonts w:cs="Arial"/>
          <w:b/>
          <w:color w:val="FF0000"/>
          <w:sz w:val="24"/>
          <w:szCs w:val="24"/>
        </w:rPr>
      </w:pPr>
    </w:p>
    <w:p w14:paraId="1E952D80" w14:textId="21B93C96" w:rsidR="00003903" w:rsidRPr="00702811" w:rsidRDefault="00003903" w:rsidP="00003903">
      <w:pPr>
        <w:rPr>
          <w:rFonts w:cs="Arial"/>
          <w:b/>
          <w:sz w:val="24"/>
          <w:szCs w:val="24"/>
        </w:rPr>
      </w:pPr>
      <w:r w:rsidRPr="00702811">
        <w:rPr>
          <w:rFonts w:cs="Arial"/>
          <w:b/>
          <w:sz w:val="24"/>
          <w:szCs w:val="24"/>
        </w:rPr>
        <w:t>Table 3.</w:t>
      </w:r>
      <w:r w:rsidR="00D05BB1">
        <w:rPr>
          <w:rFonts w:cs="Arial"/>
          <w:b/>
          <w:sz w:val="24"/>
          <w:szCs w:val="24"/>
        </w:rPr>
        <w:t>6</w:t>
      </w:r>
      <w:r w:rsidRPr="00702811">
        <w:rPr>
          <w:rFonts w:cs="Arial"/>
          <w:b/>
          <w:sz w:val="24"/>
          <w:szCs w:val="24"/>
        </w:rPr>
        <w:t>: Child protection plans by gender (age</w:t>
      </w:r>
      <w:r>
        <w:rPr>
          <w:rFonts w:cs="Arial"/>
          <w:b/>
          <w:sz w:val="24"/>
          <w:szCs w:val="24"/>
        </w:rPr>
        <w:t xml:space="preserve"> 0-5</w:t>
      </w:r>
      <w:r w:rsidRPr="00702811">
        <w:rPr>
          <w:rFonts w:cs="Arial"/>
          <w:b/>
          <w:sz w:val="24"/>
          <w:szCs w:val="24"/>
        </w:rPr>
        <w:t xml:space="preserve">) </w:t>
      </w:r>
      <w:r>
        <w:rPr>
          <w:rFonts w:cs="Arial"/>
          <w:b/>
          <w:sz w:val="24"/>
          <w:szCs w:val="24"/>
        </w:rPr>
        <w:t>as at 31</w:t>
      </w:r>
      <w:r w:rsidRPr="00DF354A">
        <w:rPr>
          <w:rFonts w:cs="Arial"/>
          <w:b/>
          <w:sz w:val="24"/>
          <w:szCs w:val="24"/>
          <w:vertAlign w:val="superscript"/>
        </w:rPr>
        <w:t>st</w:t>
      </w:r>
      <w:r>
        <w:rPr>
          <w:rFonts w:cs="Arial"/>
          <w:b/>
          <w:sz w:val="24"/>
          <w:szCs w:val="24"/>
        </w:rPr>
        <w:t xml:space="preserve"> March</w:t>
      </w:r>
    </w:p>
    <w:tbl>
      <w:tblPr>
        <w:tblW w:w="7958" w:type="dxa"/>
        <w:tblInd w:w="93" w:type="dxa"/>
        <w:tblLook w:val="04A0" w:firstRow="1" w:lastRow="0" w:firstColumn="1" w:lastColumn="0" w:noHBand="0" w:noVBand="1"/>
      </w:tblPr>
      <w:tblGrid>
        <w:gridCol w:w="3202"/>
        <w:gridCol w:w="1581"/>
        <w:gridCol w:w="1581"/>
        <w:gridCol w:w="1594"/>
      </w:tblGrid>
      <w:tr w:rsidR="00003903" w:rsidRPr="00580BD2" w14:paraId="5ADA7AD9" w14:textId="77777777" w:rsidTr="00003903">
        <w:trPr>
          <w:trHeight w:val="273"/>
        </w:trPr>
        <w:tc>
          <w:tcPr>
            <w:tcW w:w="3202" w:type="dxa"/>
            <w:tcBorders>
              <w:top w:val="single" w:sz="4" w:space="0" w:color="00B050"/>
              <w:left w:val="single" w:sz="4" w:space="0" w:color="00B050"/>
              <w:bottom w:val="single" w:sz="4" w:space="0" w:color="00B050"/>
              <w:right w:val="single" w:sz="4" w:space="0" w:color="00B050"/>
            </w:tcBorders>
            <w:shd w:val="clear" w:color="000000" w:fill="D9D9D9"/>
            <w:noWrap/>
            <w:vAlign w:val="bottom"/>
            <w:hideMark/>
          </w:tcPr>
          <w:p w14:paraId="5BFF49F6" w14:textId="77777777" w:rsidR="00003903" w:rsidRPr="00580BD2" w:rsidRDefault="00003903" w:rsidP="00003903">
            <w:pPr>
              <w:rPr>
                <w:rFonts w:cs="Arial"/>
                <w:sz w:val="24"/>
                <w:szCs w:val="24"/>
              </w:rPr>
            </w:pPr>
            <w:r w:rsidRPr="00580BD2">
              <w:rPr>
                <w:rFonts w:cs="Arial"/>
                <w:sz w:val="24"/>
                <w:szCs w:val="24"/>
              </w:rPr>
              <w:t xml:space="preserve">Child Protection Plans </w:t>
            </w:r>
          </w:p>
        </w:tc>
        <w:tc>
          <w:tcPr>
            <w:tcW w:w="1581" w:type="dxa"/>
            <w:tcBorders>
              <w:top w:val="single" w:sz="4" w:space="0" w:color="00B050"/>
              <w:left w:val="nil"/>
              <w:bottom w:val="single" w:sz="4" w:space="0" w:color="00B050"/>
              <w:right w:val="single" w:sz="4" w:space="0" w:color="00B050"/>
            </w:tcBorders>
            <w:shd w:val="clear" w:color="000000" w:fill="D9D9D9"/>
            <w:noWrap/>
            <w:vAlign w:val="bottom"/>
            <w:hideMark/>
          </w:tcPr>
          <w:p w14:paraId="6BC557A1" w14:textId="77777777" w:rsidR="00003903" w:rsidRPr="0005251F" w:rsidRDefault="00003903" w:rsidP="00003903">
            <w:pPr>
              <w:jc w:val="right"/>
              <w:rPr>
                <w:rFonts w:cs="Arial"/>
                <w:b/>
                <w:sz w:val="24"/>
                <w:szCs w:val="24"/>
              </w:rPr>
            </w:pPr>
            <w:r w:rsidRPr="0005251F">
              <w:rPr>
                <w:rFonts w:cs="Arial"/>
                <w:b/>
                <w:sz w:val="24"/>
                <w:szCs w:val="24"/>
              </w:rPr>
              <w:t>2017</w:t>
            </w:r>
          </w:p>
        </w:tc>
        <w:tc>
          <w:tcPr>
            <w:tcW w:w="1581" w:type="dxa"/>
            <w:tcBorders>
              <w:top w:val="single" w:sz="4" w:space="0" w:color="00B050"/>
              <w:left w:val="nil"/>
              <w:bottom w:val="single" w:sz="4" w:space="0" w:color="00B050"/>
              <w:right w:val="single" w:sz="4" w:space="0" w:color="00B050"/>
            </w:tcBorders>
            <w:shd w:val="clear" w:color="000000" w:fill="D9D9D9"/>
            <w:noWrap/>
            <w:vAlign w:val="bottom"/>
            <w:hideMark/>
          </w:tcPr>
          <w:p w14:paraId="0CBF9F99" w14:textId="77777777" w:rsidR="00003903" w:rsidRPr="0005251F" w:rsidRDefault="00003903" w:rsidP="00003903">
            <w:pPr>
              <w:jc w:val="right"/>
              <w:rPr>
                <w:rFonts w:cs="Arial"/>
                <w:b/>
                <w:sz w:val="24"/>
                <w:szCs w:val="24"/>
              </w:rPr>
            </w:pPr>
            <w:r w:rsidRPr="0005251F">
              <w:rPr>
                <w:rFonts w:cs="Arial"/>
                <w:b/>
                <w:sz w:val="24"/>
                <w:szCs w:val="24"/>
              </w:rPr>
              <w:t>2018</w:t>
            </w:r>
          </w:p>
        </w:tc>
        <w:tc>
          <w:tcPr>
            <w:tcW w:w="1594" w:type="dxa"/>
            <w:tcBorders>
              <w:top w:val="single" w:sz="4" w:space="0" w:color="00B050"/>
              <w:left w:val="nil"/>
              <w:bottom w:val="single" w:sz="4" w:space="0" w:color="00B050"/>
              <w:right w:val="single" w:sz="4" w:space="0" w:color="00B050"/>
            </w:tcBorders>
            <w:shd w:val="clear" w:color="000000" w:fill="D9D9D9"/>
            <w:noWrap/>
            <w:vAlign w:val="bottom"/>
            <w:hideMark/>
          </w:tcPr>
          <w:p w14:paraId="2E5A5779" w14:textId="77777777" w:rsidR="00003903" w:rsidRPr="0005251F" w:rsidRDefault="00003903" w:rsidP="00003903">
            <w:pPr>
              <w:jc w:val="right"/>
              <w:rPr>
                <w:rFonts w:cs="Arial"/>
                <w:b/>
                <w:sz w:val="24"/>
                <w:szCs w:val="24"/>
              </w:rPr>
            </w:pPr>
            <w:r w:rsidRPr="0005251F">
              <w:rPr>
                <w:rFonts w:cs="Arial"/>
                <w:b/>
                <w:sz w:val="24"/>
                <w:szCs w:val="24"/>
              </w:rPr>
              <w:t>2019</w:t>
            </w:r>
          </w:p>
        </w:tc>
      </w:tr>
      <w:tr w:rsidR="00003903" w:rsidRPr="00580BD2" w14:paraId="5E6545D4" w14:textId="77777777" w:rsidTr="00003903">
        <w:trPr>
          <w:trHeight w:val="273"/>
        </w:trPr>
        <w:tc>
          <w:tcPr>
            <w:tcW w:w="7958" w:type="dxa"/>
            <w:gridSpan w:val="4"/>
            <w:tcBorders>
              <w:top w:val="nil"/>
              <w:left w:val="single" w:sz="4" w:space="0" w:color="00B050"/>
              <w:bottom w:val="single" w:sz="4" w:space="0" w:color="00B050"/>
              <w:right w:val="single" w:sz="4" w:space="0" w:color="00B050"/>
            </w:tcBorders>
            <w:shd w:val="clear" w:color="auto" w:fill="auto"/>
            <w:noWrap/>
            <w:vAlign w:val="bottom"/>
            <w:hideMark/>
          </w:tcPr>
          <w:p w14:paraId="0AA7B206" w14:textId="77777777" w:rsidR="00003903" w:rsidRPr="00580BD2" w:rsidRDefault="00003903" w:rsidP="00003903">
            <w:pPr>
              <w:rPr>
                <w:rFonts w:cs="Arial"/>
                <w:bCs/>
                <w:sz w:val="24"/>
                <w:szCs w:val="24"/>
              </w:rPr>
            </w:pPr>
            <w:r w:rsidRPr="00580BD2">
              <w:rPr>
                <w:rFonts w:cs="Arial"/>
                <w:bCs/>
                <w:sz w:val="24"/>
                <w:szCs w:val="24"/>
              </w:rPr>
              <w:t>CP Cases aged 0-</w:t>
            </w:r>
            <w:r>
              <w:rPr>
                <w:rFonts w:cs="Arial"/>
                <w:bCs/>
                <w:sz w:val="24"/>
                <w:szCs w:val="24"/>
              </w:rPr>
              <w:t>5</w:t>
            </w:r>
            <w:r w:rsidRPr="00580BD2">
              <w:rPr>
                <w:rFonts w:cs="Arial"/>
                <w:bCs/>
                <w:sz w:val="24"/>
                <w:szCs w:val="24"/>
              </w:rPr>
              <w:t xml:space="preserve"> - Number of cases 0-</w:t>
            </w:r>
            <w:r>
              <w:rPr>
                <w:rFonts w:cs="Arial"/>
                <w:bCs/>
                <w:sz w:val="24"/>
                <w:szCs w:val="24"/>
              </w:rPr>
              <w:t>5</w:t>
            </w:r>
            <w:r w:rsidRPr="00580BD2">
              <w:rPr>
                <w:rFonts w:cs="Arial"/>
                <w:bCs/>
                <w:sz w:val="24"/>
                <w:szCs w:val="24"/>
              </w:rPr>
              <w:t xml:space="preserve"> years (% of All Cases)</w:t>
            </w:r>
          </w:p>
        </w:tc>
      </w:tr>
      <w:tr w:rsidR="00003903" w:rsidRPr="00580BD2" w14:paraId="53203F79" w14:textId="77777777" w:rsidTr="00003903">
        <w:trPr>
          <w:trHeight w:val="273"/>
        </w:trPr>
        <w:tc>
          <w:tcPr>
            <w:tcW w:w="3202" w:type="dxa"/>
            <w:tcBorders>
              <w:top w:val="nil"/>
              <w:left w:val="single" w:sz="4" w:space="0" w:color="00B050"/>
              <w:bottom w:val="single" w:sz="4" w:space="0" w:color="00B050"/>
              <w:right w:val="single" w:sz="4" w:space="0" w:color="00B050"/>
            </w:tcBorders>
            <w:shd w:val="clear" w:color="auto" w:fill="auto"/>
            <w:noWrap/>
            <w:vAlign w:val="bottom"/>
            <w:hideMark/>
          </w:tcPr>
          <w:p w14:paraId="6E34B1F3" w14:textId="77777777" w:rsidR="00003903" w:rsidRPr="00580BD2" w:rsidRDefault="00003903" w:rsidP="00003903">
            <w:pPr>
              <w:rPr>
                <w:rFonts w:cs="Arial"/>
                <w:sz w:val="24"/>
                <w:szCs w:val="24"/>
              </w:rPr>
            </w:pPr>
            <w:r w:rsidRPr="00580BD2">
              <w:rPr>
                <w:rFonts w:cs="Arial"/>
                <w:sz w:val="24"/>
                <w:szCs w:val="24"/>
              </w:rPr>
              <w:t>Number (% of all cases)</w:t>
            </w:r>
          </w:p>
        </w:tc>
        <w:tc>
          <w:tcPr>
            <w:tcW w:w="1581" w:type="dxa"/>
            <w:tcBorders>
              <w:top w:val="nil"/>
              <w:left w:val="nil"/>
              <w:bottom w:val="single" w:sz="4" w:space="0" w:color="00B050"/>
              <w:right w:val="single" w:sz="4" w:space="0" w:color="00B050"/>
            </w:tcBorders>
            <w:shd w:val="clear" w:color="auto" w:fill="auto"/>
            <w:noWrap/>
            <w:vAlign w:val="bottom"/>
            <w:hideMark/>
          </w:tcPr>
          <w:p w14:paraId="769BB29B" w14:textId="77777777" w:rsidR="00003903" w:rsidRPr="00580BD2" w:rsidRDefault="00003903" w:rsidP="00003903">
            <w:pPr>
              <w:jc w:val="right"/>
              <w:rPr>
                <w:rFonts w:cs="Arial"/>
                <w:sz w:val="24"/>
                <w:szCs w:val="24"/>
              </w:rPr>
            </w:pPr>
            <w:r w:rsidRPr="00580BD2">
              <w:rPr>
                <w:rFonts w:cs="Arial"/>
                <w:sz w:val="24"/>
                <w:szCs w:val="24"/>
              </w:rPr>
              <w:t>1</w:t>
            </w:r>
            <w:r>
              <w:rPr>
                <w:rFonts w:cs="Arial"/>
                <w:sz w:val="24"/>
                <w:szCs w:val="24"/>
              </w:rPr>
              <w:t>33</w:t>
            </w:r>
            <w:r w:rsidRPr="00580BD2">
              <w:rPr>
                <w:rFonts w:cs="Arial"/>
                <w:sz w:val="24"/>
                <w:szCs w:val="24"/>
              </w:rPr>
              <w:t xml:space="preserve"> (</w:t>
            </w:r>
            <w:r>
              <w:rPr>
                <w:rFonts w:cs="Arial"/>
                <w:sz w:val="24"/>
                <w:szCs w:val="24"/>
              </w:rPr>
              <w:t>30.6</w:t>
            </w:r>
            <w:r w:rsidRPr="00580BD2">
              <w:rPr>
                <w:rFonts w:cs="Arial"/>
                <w:sz w:val="24"/>
                <w:szCs w:val="24"/>
              </w:rPr>
              <w:t>%)</w:t>
            </w:r>
          </w:p>
        </w:tc>
        <w:tc>
          <w:tcPr>
            <w:tcW w:w="1581" w:type="dxa"/>
            <w:tcBorders>
              <w:top w:val="nil"/>
              <w:left w:val="nil"/>
              <w:bottom w:val="single" w:sz="4" w:space="0" w:color="00B050"/>
              <w:right w:val="single" w:sz="4" w:space="0" w:color="00B050"/>
            </w:tcBorders>
            <w:shd w:val="clear" w:color="auto" w:fill="auto"/>
            <w:noWrap/>
            <w:vAlign w:val="bottom"/>
            <w:hideMark/>
          </w:tcPr>
          <w:p w14:paraId="4E1FE3E9" w14:textId="77777777" w:rsidR="00003903" w:rsidRPr="00580BD2" w:rsidRDefault="00003903" w:rsidP="00003903">
            <w:pPr>
              <w:jc w:val="right"/>
              <w:rPr>
                <w:rFonts w:cs="Arial"/>
                <w:sz w:val="24"/>
                <w:szCs w:val="24"/>
              </w:rPr>
            </w:pPr>
            <w:r w:rsidRPr="00580BD2">
              <w:rPr>
                <w:rFonts w:cs="Arial"/>
                <w:sz w:val="24"/>
                <w:szCs w:val="24"/>
              </w:rPr>
              <w:t>3</w:t>
            </w:r>
            <w:r>
              <w:rPr>
                <w:rFonts w:cs="Arial"/>
                <w:sz w:val="24"/>
                <w:szCs w:val="24"/>
              </w:rPr>
              <w:t>66</w:t>
            </w:r>
            <w:r w:rsidRPr="00580BD2">
              <w:rPr>
                <w:rFonts w:cs="Arial"/>
                <w:sz w:val="24"/>
                <w:szCs w:val="24"/>
              </w:rPr>
              <w:t xml:space="preserve"> (</w:t>
            </w:r>
            <w:r>
              <w:rPr>
                <w:rFonts w:cs="Arial"/>
                <w:sz w:val="24"/>
                <w:szCs w:val="24"/>
              </w:rPr>
              <w:t>44.0</w:t>
            </w:r>
            <w:r w:rsidRPr="00580BD2">
              <w:rPr>
                <w:rFonts w:cs="Arial"/>
                <w:sz w:val="24"/>
                <w:szCs w:val="24"/>
              </w:rPr>
              <w:t>%)</w:t>
            </w:r>
          </w:p>
        </w:tc>
        <w:tc>
          <w:tcPr>
            <w:tcW w:w="1594" w:type="dxa"/>
            <w:tcBorders>
              <w:top w:val="nil"/>
              <w:left w:val="nil"/>
              <w:bottom w:val="single" w:sz="4" w:space="0" w:color="00B050"/>
              <w:right w:val="single" w:sz="4" w:space="0" w:color="00B050"/>
            </w:tcBorders>
            <w:shd w:val="clear" w:color="auto" w:fill="auto"/>
            <w:noWrap/>
            <w:vAlign w:val="bottom"/>
            <w:hideMark/>
          </w:tcPr>
          <w:p w14:paraId="3877485F" w14:textId="77777777" w:rsidR="00003903" w:rsidRPr="00580BD2" w:rsidRDefault="00003903" w:rsidP="00003903">
            <w:pPr>
              <w:jc w:val="right"/>
              <w:rPr>
                <w:rFonts w:cs="Arial"/>
                <w:sz w:val="24"/>
                <w:szCs w:val="24"/>
              </w:rPr>
            </w:pPr>
            <w:r w:rsidRPr="00580BD2">
              <w:rPr>
                <w:rFonts w:cs="Arial"/>
                <w:sz w:val="24"/>
                <w:szCs w:val="24"/>
              </w:rPr>
              <w:t>2</w:t>
            </w:r>
            <w:r>
              <w:rPr>
                <w:rFonts w:cs="Arial"/>
                <w:sz w:val="24"/>
                <w:szCs w:val="24"/>
              </w:rPr>
              <w:t>59</w:t>
            </w:r>
            <w:r w:rsidRPr="00580BD2">
              <w:rPr>
                <w:rFonts w:cs="Arial"/>
                <w:sz w:val="24"/>
                <w:szCs w:val="24"/>
              </w:rPr>
              <w:t xml:space="preserve"> (</w:t>
            </w:r>
            <w:r>
              <w:rPr>
                <w:rFonts w:cs="Arial"/>
                <w:sz w:val="24"/>
                <w:szCs w:val="24"/>
              </w:rPr>
              <w:t>44.</w:t>
            </w:r>
            <w:r w:rsidRPr="00580BD2">
              <w:rPr>
                <w:rFonts w:cs="Arial"/>
                <w:sz w:val="24"/>
                <w:szCs w:val="24"/>
              </w:rPr>
              <w:t>3%)</w:t>
            </w:r>
          </w:p>
        </w:tc>
      </w:tr>
      <w:tr w:rsidR="00003903" w:rsidRPr="00580BD2" w14:paraId="257427E6" w14:textId="77777777" w:rsidTr="00003903">
        <w:trPr>
          <w:trHeight w:val="273"/>
        </w:trPr>
        <w:tc>
          <w:tcPr>
            <w:tcW w:w="7958" w:type="dxa"/>
            <w:gridSpan w:val="4"/>
            <w:tcBorders>
              <w:top w:val="nil"/>
              <w:left w:val="single" w:sz="4" w:space="0" w:color="00B050"/>
              <w:bottom w:val="single" w:sz="4" w:space="0" w:color="00B050"/>
              <w:right w:val="single" w:sz="4" w:space="0" w:color="00B050"/>
            </w:tcBorders>
            <w:shd w:val="clear" w:color="auto" w:fill="auto"/>
            <w:noWrap/>
            <w:vAlign w:val="bottom"/>
            <w:hideMark/>
          </w:tcPr>
          <w:p w14:paraId="172FF26E" w14:textId="77777777" w:rsidR="00003903" w:rsidRPr="00580BD2" w:rsidRDefault="00003903" w:rsidP="00003903">
            <w:pPr>
              <w:rPr>
                <w:rFonts w:cs="Arial"/>
                <w:bCs/>
                <w:sz w:val="24"/>
                <w:szCs w:val="24"/>
              </w:rPr>
            </w:pPr>
            <w:r w:rsidRPr="00580BD2">
              <w:rPr>
                <w:rFonts w:cs="Arial"/>
                <w:bCs/>
                <w:sz w:val="24"/>
                <w:szCs w:val="24"/>
              </w:rPr>
              <w:t>CP Cases aged 0-</w:t>
            </w:r>
            <w:r>
              <w:rPr>
                <w:rFonts w:cs="Arial"/>
                <w:bCs/>
                <w:sz w:val="24"/>
                <w:szCs w:val="24"/>
              </w:rPr>
              <w:t>5</w:t>
            </w:r>
            <w:r w:rsidRPr="00580BD2">
              <w:rPr>
                <w:rFonts w:cs="Arial"/>
                <w:bCs/>
                <w:sz w:val="24"/>
                <w:szCs w:val="24"/>
              </w:rPr>
              <w:t xml:space="preserve"> by sex - Number of cases 0-</w:t>
            </w:r>
            <w:r>
              <w:rPr>
                <w:rFonts w:cs="Arial"/>
                <w:bCs/>
                <w:sz w:val="24"/>
                <w:szCs w:val="24"/>
              </w:rPr>
              <w:t>5</w:t>
            </w:r>
            <w:r w:rsidRPr="00580BD2">
              <w:rPr>
                <w:rFonts w:cs="Arial"/>
                <w:bCs/>
                <w:sz w:val="24"/>
                <w:szCs w:val="24"/>
              </w:rPr>
              <w:t xml:space="preserve"> years (% of all 0-</w:t>
            </w:r>
            <w:r>
              <w:rPr>
                <w:rFonts w:cs="Arial"/>
                <w:bCs/>
                <w:sz w:val="24"/>
                <w:szCs w:val="24"/>
              </w:rPr>
              <w:t>5</w:t>
            </w:r>
            <w:r w:rsidRPr="00580BD2">
              <w:rPr>
                <w:rFonts w:cs="Arial"/>
                <w:bCs/>
                <w:sz w:val="24"/>
                <w:szCs w:val="24"/>
              </w:rPr>
              <w:t xml:space="preserve"> cases)</w:t>
            </w:r>
          </w:p>
        </w:tc>
      </w:tr>
      <w:tr w:rsidR="00003903" w:rsidRPr="00580BD2" w14:paraId="784B0690" w14:textId="77777777" w:rsidTr="00003903">
        <w:trPr>
          <w:trHeight w:val="273"/>
        </w:trPr>
        <w:tc>
          <w:tcPr>
            <w:tcW w:w="3202" w:type="dxa"/>
            <w:tcBorders>
              <w:top w:val="nil"/>
              <w:left w:val="single" w:sz="4" w:space="0" w:color="00B050"/>
              <w:bottom w:val="single" w:sz="4" w:space="0" w:color="00B050"/>
              <w:right w:val="single" w:sz="4" w:space="0" w:color="00B050"/>
            </w:tcBorders>
            <w:shd w:val="clear" w:color="auto" w:fill="auto"/>
            <w:noWrap/>
            <w:vAlign w:val="bottom"/>
            <w:hideMark/>
          </w:tcPr>
          <w:p w14:paraId="742B7666" w14:textId="77777777" w:rsidR="00003903" w:rsidRPr="00580BD2" w:rsidRDefault="00003903" w:rsidP="00003903">
            <w:pPr>
              <w:rPr>
                <w:rFonts w:cs="Arial"/>
                <w:sz w:val="24"/>
                <w:szCs w:val="24"/>
              </w:rPr>
            </w:pPr>
            <w:r w:rsidRPr="00580BD2">
              <w:rPr>
                <w:rFonts w:cs="Arial"/>
                <w:sz w:val="24"/>
                <w:szCs w:val="24"/>
              </w:rPr>
              <w:t>Male</w:t>
            </w:r>
          </w:p>
        </w:tc>
        <w:tc>
          <w:tcPr>
            <w:tcW w:w="1581" w:type="dxa"/>
            <w:tcBorders>
              <w:top w:val="nil"/>
              <w:left w:val="nil"/>
              <w:bottom w:val="single" w:sz="4" w:space="0" w:color="00B050"/>
              <w:right w:val="single" w:sz="4" w:space="0" w:color="00B050"/>
            </w:tcBorders>
            <w:shd w:val="clear" w:color="auto" w:fill="auto"/>
            <w:noWrap/>
            <w:vAlign w:val="bottom"/>
            <w:hideMark/>
          </w:tcPr>
          <w:p w14:paraId="426A0AB6" w14:textId="77777777" w:rsidR="00003903" w:rsidRPr="00580BD2" w:rsidRDefault="00003903" w:rsidP="00003903">
            <w:pPr>
              <w:jc w:val="right"/>
              <w:rPr>
                <w:rFonts w:cs="Arial"/>
                <w:sz w:val="24"/>
                <w:szCs w:val="24"/>
              </w:rPr>
            </w:pPr>
            <w:r>
              <w:rPr>
                <w:rFonts w:cs="Arial"/>
                <w:sz w:val="24"/>
                <w:szCs w:val="24"/>
              </w:rPr>
              <w:t>64</w:t>
            </w:r>
            <w:r w:rsidRPr="00580BD2">
              <w:rPr>
                <w:rFonts w:cs="Arial"/>
                <w:sz w:val="24"/>
                <w:szCs w:val="24"/>
              </w:rPr>
              <w:t xml:space="preserve"> (</w:t>
            </w:r>
            <w:r>
              <w:rPr>
                <w:rFonts w:cs="Arial"/>
                <w:sz w:val="24"/>
                <w:szCs w:val="24"/>
              </w:rPr>
              <w:t>48.1</w:t>
            </w:r>
            <w:r w:rsidRPr="00580BD2">
              <w:rPr>
                <w:rFonts w:cs="Arial"/>
                <w:sz w:val="24"/>
                <w:szCs w:val="24"/>
              </w:rPr>
              <w:t>%)</w:t>
            </w:r>
          </w:p>
        </w:tc>
        <w:tc>
          <w:tcPr>
            <w:tcW w:w="1581" w:type="dxa"/>
            <w:tcBorders>
              <w:top w:val="nil"/>
              <w:left w:val="nil"/>
              <w:bottom w:val="single" w:sz="4" w:space="0" w:color="00B050"/>
              <w:right w:val="single" w:sz="4" w:space="0" w:color="00B050"/>
            </w:tcBorders>
            <w:shd w:val="clear" w:color="auto" w:fill="auto"/>
            <w:noWrap/>
            <w:vAlign w:val="bottom"/>
            <w:hideMark/>
          </w:tcPr>
          <w:p w14:paraId="7929B211" w14:textId="77777777" w:rsidR="00003903" w:rsidRPr="00580BD2" w:rsidRDefault="00003903" w:rsidP="00003903">
            <w:pPr>
              <w:jc w:val="right"/>
              <w:rPr>
                <w:rFonts w:cs="Arial"/>
                <w:sz w:val="24"/>
                <w:szCs w:val="24"/>
              </w:rPr>
            </w:pPr>
            <w:r>
              <w:rPr>
                <w:rFonts w:cs="Arial"/>
                <w:sz w:val="24"/>
                <w:szCs w:val="24"/>
              </w:rPr>
              <w:t>205 (56</w:t>
            </w:r>
            <w:r w:rsidRPr="00580BD2">
              <w:rPr>
                <w:rFonts w:cs="Arial"/>
                <w:sz w:val="24"/>
                <w:szCs w:val="24"/>
              </w:rPr>
              <w:t>.0%)</w:t>
            </w:r>
          </w:p>
        </w:tc>
        <w:tc>
          <w:tcPr>
            <w:tcW w:w="1594" w:type="dxa"/>
            <w:tcBorders>
              <w:top w:val="nil"/>
              <w:left w:val="nil"/>
              <w:bottom w:val="single" w:sz="4" w:space="0" w:color="00B050"/>
              <w:right w:val="single" w:sz="4" w:space="0" w:color="00B050"/>
            </w:tcBorders>
            <w:shd w:val="clear" w:color="auto" w:fill="auto"/>
            <w:noWrap/>
            <w:vAlign w:val="bottom"/>
            <w:hideMark/>
          </w:tcPr>
          <w:p w14:paraId="4FA14118" w14:textId="77777777" w:rsidR="00003903" w:rsidRPr="00580BD2" w:rsidRDefault="00003903" w:rsidP="00003903">
            <w:pPr>
              <w:jc w:val="right"/>
              <w:rPr>
                <w:rFonts w:cs="Arial"/>
                <w:sz w:val="24"/>
                <w:szCs w:val="24"/>
              </w:rPr>
            </w:pPr>
            <w:r>
              <w:rPr>
                <w:rFonts w:cs="Arial"/>
                <w:sz w:val="24"/>
                <w:szCs w:val="24"/>
              </w:rPr>
              <w:t>114</w:t>
            </w:r>
            <w:r w:rsidRPr="00580BD2">
              <w:rPr>
                <w:rFonts w:cs="Arial"/>
                <w:sz w:val="24"/>
                <w:szCs w:val="24"/>
              </w:rPr>
              <w:t xml:space="preserve"> (4</w:t>
            </w:r>
            <w:r>
              <w:rPr>
                <w:rFonts w:cs="Arial"/>
                <w:sz w:val="24"/>
                <w:szCs w:val="24"/>
              </w:rPr>
              <w:t>4</w:t>
            </w:r>
            <w:r w:rsidRPr="00580BD2">
              <w:rPr>
                <w:rFonts w:cs="Arial"/>
                <w:sz w:val="24"/>
                <w:szCs w:val="24"/>
              </w:rPr>
              <w:t>.</w:t>
            </w:r>
            <w:r>
              <w:rPr>
                <w:rFonts w:cs="Arial"/>
                <w:sz w:val="24"/>
                <w:szCs w:val="24"/>
              </w:rPr>
              <w:t>0</w:t>
            </w:r>
            <w:r w:rsidRPr="00580BD2">
              <w:rPr>
                <w:rFonts w:cs="Arial"/>
                <w:sz w:val="24"/>
                <w:szCs w:val="24"/>
              </w:rPr>
              <w:t>%)</w:t>
            </w:r>
          </w:p>
        </w:tc>
      </w:tr>
      <w:tr w:rsidR="00003903" w:rsidRPr="00580BD2" w14:paraId="41680DEA" w14:textId="77777777" w:rsidTr="00003903">
        <w:trPr>
          <w:trHeight w:val="273"/>
        </w:trPr>
        <w:tc>
          <w:tcPr>
            <w:tcW w:w="3202" w:type="dxa"/>
            <w:tcBorders>
              <w:top w:val="nil"/>
              <w:left w:val="single" w:sz="4" w:space="0" w:color="00B050"/>
              <w:bottom w:val="single" w:sz="4" w:space="0" w:color="00B050"/>
              <w:right w:val="single" w:sz="4" w:space="0" w:color="00B050"/>
            </w:tcBorders>
            <w:shd w:val="clear" w:color="auto" w:fill="auto"/>
            <w:noWrap/>
            <w:vAlign w:val="bottom"/>
            <w:hideMark/>
          </w:tcPr>
          <w:p w14:paraId="7147C223" w14:textId="77777777" w:rsidR="00003903" w:rsidRPr="00580BD2" w:rsidRDefault="00003903" w:rsidP="00003903">
            <w:pPr>
              <w:rPr>
                <w:rFonts w:cs="Arial"/>
                <w:sz w:val="24"/>
                <w:szCs w:val="24"/>
              </w:rPr>
            </w:pPr>
            <w:r w:rsidRPr="00580BD2">
              <w:rPr>
                <w:rFonts w:cs="Arial"/>
                <w:sz w:val="24"/>
                <w:szCs w:val="24"/>
              </w:rPr>
              <w:t>Female</w:t>
            </w:r>
          </w:p>
        </w:tc>
        <w:tc>
          <w:tcPr>
            <w:tcW w:w="1581" w:type="dxa"/>
            <w:tcBorders>
              <w:top w:val="nil"/>
              <w:left w:val="nil"/>
              <w:bottom w:val="single" w:sz="4" w:space="0" w:color="00B050"/>
              <w:right w:val="single" w:sz="4" w:space="0" w:color="00B050"/>
            </w:tcBorders>
            <w:shd w:val="clear" w:color="auto" w:fill="auto"/>
            <w:noWrap/>
            <w:vAlign w:val="bottom"/>
            <w:hideMark/>
          </w:tcPr>
          <w:p w14:paraId="68EFB46B" w14:textId="77777777" w:rsidR="00003903" w:rsidRPr="00580BD2" w:rsidRDefault="00003903" w:rsidP="00003903">
            <w:pPr>
              <w:jc w:val="right"/>
              <w:rPr>
                <w:rFonts w:cs="Arial"/>
                <w:sz w:val="24"/>
                <w:szCs w:val="24"/>
              </w:rPr>
            </w:pPr>
            <w:r>
              <w:rPr>
                <w:rFonts w:cs="Arial"/>
                <w:sz w:val="24"/>
                <w:szCs w:val="24"/>
              </w:rPr>
              <w:t>63</w:t>
            </w:r>
            <w:r w:rsidRPr="00580BD2">
              <w:rPr>
                <w:rFonts w:cs="Arial"/>
                <w:sz w:val="24"/>
                <w:szCs w:val="24"/>
              </w:rPr>
              <w:t xml:space="preserve"> (47.</w:t>
            </w:r>
            <w:r>
              <w:rPr>
                <w:rFonts w:cs="Arial"/>
                <w:sz w:val="24"/>
                <w:szCs w:val="24"/>
              </w:rPr>
              <w:t>4</w:t>
            </w:r>
            <w:r w:rsidRPr="00580BD2">
              <w:rPr>
                <w:rFonts w:cs="Arial"/>
                <w:sz w:val="24"/>
                <w:szCs w:val="24"/>
              </w:rPr>
              <w:t>%)</w:t>
            </w:r>
          </w:p>
        </w:tc>
        <w:tc>
          <w:tcPr>
            <w:tcW w:w="1581" w:type="dxa"/>
            <w:tcBorders>
              <w:top w:val="nil"/>
              <w:left w:val="nil"/>
              <w:bottom w:val="single" w:sz="4" w:space="0" w:color="00B050"/>
              <w:right w:val="single" w:sz="4" w:space="0" w:color="00B050"/>
            </w:tcBorders>
            <w:shd w:val="clear" w:color="auto" w:fill="auto"/>
            <w:noWrap/>
            <w:vAlign w:val="bottom"/>
            <w:hideMark/>
          </w:tcPr>
          <w:p w14:paraId="4EE968E0" w14:textId="77777777" w:rsidR="00003903" w:rsidRPr="00580BD2" w:rsidRDefault="00003903" w:rsidP="00003903">
            <w:pPr>
              <w:jc w:val="right"/>
              <w:rPr>
                <w:rFonts w:cs="Arial"/>
                <w:sz w:val="24"/>
                <w:szCs w:val="24"/>
              </w:rPr>
            </w:pPr>
            <w:r>
              <w:rPr>
                <w:rFonts w:cs="Arial"/>
                <w:sz w:val="24"/>
                <w:szCs w:val="24"/>
              </w:rPr>
              <w:t>146</w:t>
            </w:r>
            <w:r w:rsidRPr="00580BD2">
              <w:rPr>
                <w:rFonts w:cs="Arial"/>
                <w:sz w:val="24"/>
                <w:szCs w:val="24"/>
              </w:rPr>
              <w:t xml:space="preserve"> (</w:t>
            </w:r>
            <w:r>
              <w:rPr>
                <w:rFonts w:cs="Arial"/>
                <w:sz w:val="24"/>
                <w:szCs w:val="24"/>
              </w:rPr>
              <w:t>39</w:t>
            </w:r>
            <w:r w:rsidRPr="00580BD2">
              <w:rPr>
                <w:rFonts w:cs="Arial"/>
                <w:sz w:val="24"/>
                <w:szCs w:val="24"/>
              </w:rPr>
              <w:t>.</w:t>
            </w:r>
            <w:r>
              <w:rPr>
                <w:rFonts w:cs="Arial"/>
                <w:sz w:val="24"/>
                <w:szCs w:val="24"/>
              </w:rPr>
              <w:t>9</w:t>
            </w:r>
            <w:r w:rsidRPr="00580BD2">
              <w:rPr>
                <w:rFonts w:cs="Arial"/>
                <w:sz w:val="24"/>
                <w:szCs w:val="24"/>
              </w:rPr>
              <w:t>%)</w:t>
            </w:r>
          </w:p>
        </w:tc>
        <w:tc>
          <w:tcPr>
            <w:tcW w:w="1594" w:type="dxa"/>
            <w:tcBorders>
              <w:top w:val="nil"/>
              <w:left w:val="nil"/>
              <w:bottom w:val="single" w:sz="4" w:space="0" w:color="00B050"/>
              <w:right w:val="single" w:sz="4" w:space="0" w:color="00B050"/>
            </w:tcBorders>
            <w:shd w:val="clear" w:color="auto" w:fill="auto"/>
            <w:noWrap/>
            <w:vAlign w:val="bottom"/>
            <w:hideMark/>
          </w:tcPr>
          <w:p w14:paraId="6B694AD0" w14:textId="77777777" w:rsidR="00003903" w:rsidRPr="00580BD2" w:rsidRDefault="00003903" w:rsidP="00003903">
            <w:pPr>
              <w:jc w:val="right"/>
              <w:rPr>
                <w:rFonts w:cs="Arial"/>
                <w:sz w:val="24"/>
                <w:szCs w:val="24"/>
              </w:rPr>
            </w:pPr>
            <w:r>
              <w:rPr>
                <w:rFonts w:cs="Arial"/>
                <w:sz w:val="24"/>
                <w:szCs w:val="24"/>
              </w:rPr>
              <w:t>128</w:t>
            </w:r>
            <w:r w:rsidRPr="00580BD2">
              <w:rPr>
                <w:rFonts w:cs="Arial"/>
                <w:sz w:val="24"/>
                <w:szCs w:val="24"/>
              </w:rPr>
              <w:t xml:space="preserve"> (</w:t>
            </w:r>
            <w:r>
              <w:rPr>
                <w:rFonts w:cs="Arial"/>
                <w:sz w:val="24"/>
                <w:szCs w:val="24"/>
              </w:rPr>
              <w:t>49.4</w:t>
            </w:r>
            <w:r w:rsidRPr="00580BD2">
              <w:rPr>
                <w:rFonts w:cs="Arial"/>
                <w:sz w:val="24"/>
                <w:szCs w:val="24"/>
              </w:rPr>
              <w:t>%)</w:t>
            </w:r>
          </w:p>
        </w:tc>
      </w:tr>
      <w:tr w:rsidR="00003903" w:rsidRPr="00580BD2" w14:paraId="0B74E084" w14:textId="77777777" w:rsidTr="00003903">
        <w:trPr>
          <w:trHeight w:val="273"/>
        </w:trPr>
        <w:tc>
          <w:tcPr>
            <w:tcW w:w="3202" w:type="dxa"/>
            <w:tcBorders>
              <w:top w:val="nil"/>
              <w:left w:val="single" w:sz="4" w:space="0" w:color="00B050"/>
              <w:bottom w:val="single" w:sz="4" w:space="0" w:color="00B050"/>
              <w:right w:val="single" w:sz="4" w:space="0" w:color="00B050"/>
            </w:tcBorders>
            <w:shd w:val="clear" w:color="auto" w:fill="auto"/>
            <w:noWrap/>
            <w:vAlign w:val="bottom"/>
            <w:hideMark/>
          </w:tcPr>
          <w:p w14:paraId="4FEAA9B1" w14:textId="77777777" w:rsidR="00003903" w:rsidRPr="00580BD2" w:rsidRDefault="00003903" w:rsidP="00003903">
            <w:pPr>
              <w:rPr>
                <w:rFonts w:cs="Arial"/>
                <w:sz w:val="24"/>
                <w:szCs w:val="24"/>
              </w:rPr>
            </w:pPr>
            <w:r w:rsidRPr="00580BD2">
              <w:rPr>
                <w:rFonts w:cs="Arial"/>
                <w:sz w:val="24"/>
                <w:szCs w:val="24"/>
              </w:rPr>
              <w:t>Unborn</w:t>
            </w:r>
          </w:p>
        </w:tc>
        <w:tc>
          <w:tcPr>
            <w:tcW w:w="1581" w:type="dxa"/>
            <w:tcBorders>
              <w:top w:val="nil"/>
              <w:left w:val="nil"/>
              <w:bottom w:val="single" w:sz="4" w:space="0" w:color="00B050"/>
              <w:right w:val="single" w:sz="4" w:space="0" w:color="00B050"/>
            </w:tcBorders>
            <w:shd w:val="clear" w:color="auto" w:fill="auto"/>
            <w:noWrap/>
            <w:vAlign w:val="bottom"/>
            <w:hideMark/>
          </w:tcPr>
          <w:p w14:paraId="787CC36A" w14:textId="77777777" w:rsidR="00003903" w:rsidRPr="00580BD2" w:rsidRDefault="00003903" w:rsidP="00003903">
            <w:pPr>
              <w:jc w:val="right"/>
              <w:rPr>
                <w:rFonts w:cs="Arial"/>
                <w:sz w:val="24"/>
                <w:szCs w:val="24"/>
              </w:rPr>
            </w:pPr>
            <w:r>
              <w:rPr>
                <w:rFonts w:cs="Arial"/>
                <w:sz w:val="24"/>
                <w:szCs w:val="24"/>
              </w:rPr>
              <w:t>6</w:t>
            </w:r>
            <w:r w:rsidRPr="00580BD2">
              <w:rPr>
                <w:rFonts w:cs="Arial"/>
                <w:sz w:val="24"/>
                <w:szCs w:val="24"/>
              </w:rPr>
              <w:t xml:space="preserve"> (</w:t>
            </w:r>
            <w:r>
              <w:rPr>
                <w:rFonts w:cs="Arial"/>
                <w:sz w:val="24"/>
                <w:szCs w:val="24"/>
              </w:rPr>
              <w:t>4.5</w:t>
            </w:r>
            <w:r w:rsidRPr="00580BD2">
              <w:rPr>
                <w:rFonts w:cs="Arial"/>
                <w:sz w:val="24"/>
                <w:szCs w:val="24"/>
              </w:rPr>
              <w:t>%)</w:t>
            </w:r>
          </w:p>
        </w:tc>
        <w:tc>
          <w:tcPr>
            <w:tcW w:w="1581" w:type="dxa"/>
            <w:tcBorders>
              <w:top w:val="nil"/>
              <w:left w:val="nil"/>
              <w:bottom w:val="single" w:sz="4" w:space="0" w:color="00B050"/>
              <w:right w:val="single" w:sz="4" w:space="0" w:color="00B050"/>
            </w:tcBorders>
            <w:shd w:val="clear" w:color="auto" w:fill="auto"/>
            <w:noWrap/>
            <w:vAlign w:val="bottom"/>
            <w:hideMark/>
          </w:tcPr>
          <w:p w14:paraId="6561AAB9" w14:textId="77777777" w:rsidR="00003903" w:rsidRPr="00580BD2" w:rsidRDefault="00003903" w:rsidP="00003903">
            <w:pPr>
              <w:jc w:val="right"/>
              <w:rPr>
                <w:rFonts w:cs="Arial"/>
                <w:sz w:val="24"/>
                <w:szCs w:val="24"/>
              </w:rPr>
            </w:pPr>
            <w:r w:rsidRPr="00580BD2">
              <w:rPr>
                <w:rFonts w:cs="Arial"/>
                <w:sz w:val="24"/>
                <w:szCs w:val="24"/>
              </w:rPr>
              <w:t>1</w:t>
            </w:r>
            <w:r>
              <w:rPr>
                <w:rFonts w:cs="Arial"/>
                <w:sz w:val="24"/>
                <w:szCs w:val="24"/>
              </w:rPr>
              <w:t>5</w:t>
            </w:r>
            <w:r w:rsidRPr="00580BD2">
              <w:rPr>
                <w:rFonts w:cs="Arial"/>
                <w:sz w:val="24"/>
                <w:szCs w:val="24"/>
              </w:rPr>
              <w:t xml:space="preserve"> (</w:t>
            </w:r>
            <w:r>
              <w:rPr>
                <w:rFonts w:cs="Arial"/>
                <w:sz w:val="24"/>
                <w:szCs w:val="24"/>
              </w:rPr>
              <w:t>3.5</w:t>
            </w:r>
            <w:r w:rsidRPr="00580BD2">
              <w:rPr>
                <w:rFonts w:cs="Arial"/>
                <w:sz w:val="24"/>
                <w:szCs w:val="24"/>
              </w:rPr>
              <w:t>%)</w:t>
            </w:r>
          </w:p>
        </w:tc>
        <w:tc>
          <w:tcPr>
            <w:tcW w:w="1594" w:type="dxa"/>
            <w:tcBorders>
              <w:top w:val="nil"/>
              <w:left w:val="nil"/>
              <w:bottom w:val="single" w:sz="4" w:space="0" w:color="00B050"/>
              <w:right w:val="single" w:sz="4" w:space="0" w:color="00B050"/>
            </w:tcBorders>
            <w:shd w:val="clear" w:color="auto" w:fill="auto"/>
            <w:noWrap/>
            <w:vAlign w:val="bottom"/>
            <w:hideMark/>
          </w:tcPr>
          <w:p w14:paraId="6EDF66BA" w14:textId="77777777" w:rsidR="00003903" w:rsidRPr="00580BD2" w:rsidRDefault="00003903" w:rsidP="00003903">
            <w:pPr>
              <w:jc w:val="right"/>
              <w:rPr>
                <w:rFonts w:cs="Arial"/>
                <w:sz w:val="24"/>
                <w:szCs w:val="24"/>
              </w:rPr>
            </w:pPr>
            <w:r w:rsidRPr="00580BD2">
              <w:rPr>
                <w:rFonts w:cs="Arial"/>
                <w:sz w:val="24"/>
                <w:szCs w:val="24"/>
              </w:rPr>
              <w:t>17 (</w:t>
            </w:r>
            <w:r>
              <w:rPr>
                <w:rFonts w:cs="Arial"/>
                <w:sz w:val="24"/>
                <w:szCs w:val="24"/>
              </w:rPr>
              <w:t>6.6</w:t>
            </w:r>
            <w:r w:rsidRPr="00580BD2">
              <w:rPr>
                <w:rFonts w:cs="Arial"/>
                <w:sz w:val="24"/>
                <w:szCs w:val="24"/>
              </w:rPr>
              <w:t>%)</w:t>
            </w:r>
          </w:p>
        </w:tc>
      </w:tr>
    </w:tbl>
    <w:p w14:paraId="1DD5CDA5" w14:textId="77777777" w:rsidR="00003903" w:rsidRDefault="00003903" w:rsidP="00003903">
      <w:pPr>
        <w:rPr>
          <w:sz w:val="24"/>
          <w:szCs w:val="24"/>
        </w:rPr>
      </w:pPr>
      <w:r w:rsidRPr="00580BD2">
        <w:rPr>
          <w:rFonts w:cs="Arial"/>
          <w:sz w:val="24"/>
          <w:szCs w:val="24"/>
        </w:rPr>
        <w:t xml:space="preserve">Source: </w:t>
      </w:r>
      <w:r w:rsidRPr="0064057C">
        <w:rPr>
          <w:sz w:val="24"/>
          <w:szCs w:val="24"/>
        </w:rPr>
        <w:t>Sandwell Children’s Trust</w:t>
      </w:r>
    </w:p>
    <w:p w14:paraId="7537C112" w14:textId="77777777" w:rsidR="007A686F" w:rsidRDefault="007A686F" w:rsidP="00003903">
      <w:pPr>
        <w:rPr>
          <w:rFonts w:cs="Arial"/>
          <w:sz w:val="24"/>
          <w:szCs w:val="24"/>
        </w:rPr>
      </w:pPr>
    </w:p>
    <w:p w14:paraId="2E3EF46E" w14:textId="2ECFCEA8" w:rsidR="00003903" w:rsidRPr="001110B8" w:rsidRDefault="00003903" w:rsidP="00003903">
      <w:pPr>
        <w:rPr>
          <w:rFonts w:cs="Arial"/>
          <w:sz w:val="24"/>
          <w:szCs w:val="24"/>
        </w:rPr>
      </w:pPr>
      <w:r w:rsidRPr="001110B8">
        <w:rPr>
          <w:rFonts w:cs="Arial"/>
          <w:sz w:val="24"/>
          <w:szCs w:val="24"/>
        </w:rPr>
        <w:t>Table 3.</w:t>
      </w:r>
      <w:r w:rsidR="00D05BB1">
        <w:rPr>
          <w:rFonts w:cs="Arial"/>
          <w:sz w:val="24"/>
          <w:szCs w:val="24"/>
        </w:rPr>
        <w:t>6</w:t>
      </w:r>
      <w:r w:rsidRPr="001110B8">
        <w:rPr>
          <w:rFonts w:cs="Arial"/>
          <w:sz w:val="24"/>
          <w:szCs w:val="24"/>
        </w:rPr>
        <w:t xml:space="preserve"> shows the percentage of child protection cases which are for children aged 0-5 years and the proportion of all cases which are male, female and unborn.  </w:t>
      </w:r>
      <w:r w:rsidRPr="00580BD2">
        <w:rPr>
          <w:rFonts w:cs="Arial"/>
          <w:sz w:val="24"/>
          <w:szCs w:val="24"/>
        </w:rPr>
        <w:t xml:space="preserve">As at </w:t>
      </w:r>
      <w:r>
        <w:rPr>
          <w:rFonts w:cs="Arial"/>
          <w:sz w:val="24"/>
          <w:szCs w:val="24"/>
        </w:rPr>
        <w:t>31</w:t>
      </w:r>
      <w:r w:rsidRPr="003523D3">
        <w:rPr>
          <w:rFonts w:cs="Arial"/>
          <w:sz w:val="24"/>
          <w:szCs w:val="24"/>
          <w:vertAlign w:val="superscript"/>
        </w:rPr>
        <w:t>st</w:t>
      </w:r>
      <w:r>
        <w:rPr>
          <w:rFonts w:cs="Arial"/>
          <w:sz w:val="24"/>
          <w:szCs w:val="24"/>
        </w:rPr>
        <w:t xml:space="preserve"> </w:t>
      </w:r>
      <w:r w:rsidRPr="00580BD2">
        <w:rPr>
          <w:rFonts w:cs="Arial"/>
          <w:sz w:val="24"/>
          <w:szCs w:val="24"/>
        </w:rPr>
        <w:t xml:space="preserve">March 2019, </w:t>
      </w:r>
      <w:r>
        <w:rPr>
          <w:rFonts w:cs="Arial"/>
          <w:sz w:val="24"/>
          <w:szCs w:val="24"/>
        </w:rPr>
        <w:t>259</w:t>
      </w:r>
      <w:r w:rsidRPr="00580BD2">
        <w:rPr>
          <w:rFonts w:cs="Arial"/>
          <w:sz w:val="24"/>
          <w:szCs w:val="24"/>
        </w:rPr>
        <w:t xml:space="preserve"> children aged </w:t>
      </w:r>
      <w:r>
        <w:rPr>
          <w:rFonts w:cs="Arial"/>
          <w:sz w:val="24"/>
          <w:szCs w:val="24"/>
        </w:rPr>
        <w:t xml:space="preserve">5 &amp; </w:t>
      </w:r>
      <w:r w:rsidRPr="00580BD2">
        <w:rPr>
          <w:rFonts w:cs="Arial"/>
          <w:sz w:val="24"/>
          <w:szCs w:val="24"/>
        </w:rPr>
        <w:t xml:space="preserve">under were subject to a Child Protection Plan, </w:t>
      </w:r>
      <w:r>
        <w:rPr>
          <w:rFonts w:cs="Arial"/>
          <w:sz w:val="24"/>
          <w:szCs w:val="24"/>
        </w:rPr>
        <w:t>44</w:t>
      </w:r>
      <w:r w:rsidRPr="00580BD2">
        <w:rPr>
          <w:rFonts w:cs="Arial"/>
          <w:sz w:val="24"/>
          <w:szCs w:val="24"/>
        </w:rPr>
        <w:t>.3% of all cases.</w:t>
      </w:r>
    </w:p>
    <w:p w14:paraId="2398CF71" w14:textId="4D7EAB45" w:rsidR="00003903" w:rsidRPr="00E7259A" w:rsidRDefault="00003903" w:rsidP="00003903">
      <w:pPr>
        <w:rPr>
          <w:rFonts w:cs="Arial"/>
          <w:b/>
          <w:sz w:val="24"/>
          <w:szCs w:val="24"/>
        </w:rPr>
      </w:pPr>
      <w:r w:rsidRPr="00E7259A">
        <w:rPr>
          <w:rFonts w:cs="Arial"/>
          <w:b/>
          <w:sz w:val="24"/>
          <w:szCs w:val="24"/>
        </w:rPr>
        <w:t>Table 3.</w:t>
      </w:r>
      <w:r w:rsidR="00D05BB1">
        <w:rPr>
          <w:rFonts w:cs="Arial"/>
          <w:b/>
          <w:sz w:val="24"/>
          <w:szCs w:val="24"/>
        </w:rPr>
        <w:t>7</w:t>
      </w:r>
      <w:r w:rsidRPr="00E7259A">
        <w:rPr>
          <w:rFonts w:cs="Arial"/>
          <w:b/>
          <w:sz w:val="24"/>
          <w:szCs w:val="24"/>
        </w:rPr>
        <w:t xml:space="preserve">: Ethnic breakdown of Child Protection </w:t>
      </w:r>
      <w:r>
        <w:rPr>
          <w:rFonts w:cs="Arial"/>
          <w:b/>
          <w:sz w:val="24"/>
          <w:szCs w:val="24"/>
        </w:rPr>
        <w:t>Plans</w:t>
      </w:r>
      <w:r w:rsidRPr="00E7259A">
        <w:rPr>
          <w:rFonts w:cs="Arial"/>
          <w:b/>
          <w:sz w:val="24"/>
          <w:szCs w:val="24"/>
        </w:rPr>
        <w:t xml:space="preserve"> aged 0-</w:t>
      </w:r>
      <w:r>
        <w:rPr>
          <w:rFonts w:cs="Arial"/>
          <w:b/>
          <w:sz w:val="24"/>
          <w:szCs w:val="24"/>
        </w:rPr>
        <w:t>5 as at 31</w:t>
      </w:r>
      <w:r w:rsidRPr="00DF354A">
        <w:rPr>
          <w:rFonts w:cs="Arial"/>
          <w:b/>
          <w:sz w:val="24"/>
          <w:szCs w:val="24"/>
          <w:vertAlign w:val="superscript"/>
        </w:rPr>
        <w:t>st</w:t>
      </w:r>
      <w:r>
        <w:rPr>
          <w:rFonts w:cs="Arial"/>
          <w:b/>
          <w:sz w:val="24"/>
          <w:szCs w:val="24"/>
        </w:rPr>
        <w:t xml:space="preserve"> March</w:t>
      </w:r>
    </w:p>
    <w:tbl>
      <w:tblPr>
        <w:tblW w:w="7542" w:type="dxa"/>
        <w:tblInd w:w="10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722"/>
        <w:gridCol w:w="1560"/>
        <w:gridCol w:w="1701"/>
        <w:gridCol w:w="1559"/>
      </w:tblGrid>
      <w:tr w:rsidR="00003903" w:rsidRPr="00580BD2" w14:paraId="093AB992" w14:textId="77777777" w:rsidTr="00003903">
        <w:trPr>
          <w:trHeight w:val="397"/>
        </w:trPr>
        <w:tc>
          <w:tcPr>
            <w:tcW w:w="2722" w:type="dxa"/>
            <w:vMerge w:val="restart"/>
            <w:shd w:val="clear" w:color="auto" w:fill="E6E6E6"/>
            <w:vAlign w:val="center"/>
          </w:tcPr>
          <w:p w14:paraId="385AE99C" w14:textId="77777777" w:rsidR="00003903" w:rsidRPr="00E7259A" w:rsidRDefault="00003903" w:rsidP="00003903">
            <w:pPr>
              <w:rPr>
                <w:rFonts w:cs="Arial"/>
                <w:bCs/>
                <w:sz w:val="24"/>
                <w:szCs w:val="24"/>
              </w:rPr>
            </w:pPr>
            <w:r w:rsidRPr="00E7259A">
              <w:rPr>
                <w:rFonts w:cs="Arial"/>
                <w:bCs/>
                <w:sz w:val="24"/>
                <w:szCs w:val="24"/>
              </w:rPr>
              <w:t>Ethnic Group</w:t>
            </w:r>
          </w:p>
        </w:tc>
        <w:tc>
          <w:tcPr>
            <w:tcW w:w="4820" w:type="dxa"/>
            <w:gridSpan w:val="3"/>
            <w:shd w:val="clear" w:color="auto" w:fill="E6E6E6"/>
            <w:vAlign w:val="center"/>
          </w:tcPr>
          <w:p w14:paraId="12C0CB0F" w14:textId="77777777" w:rsidR="00003903" w:rsidRPr="00E7259A" w:rsidRDefault="00003903" w:rsidP="00003903">
            <w:pPr>
              <w:rPr>
                <w:rFonts w:cs="Arial"/>
                <w:sz w:val="24"/>
                <w:szCs w:val="24"/>
              </w:rPr>
            </w:pPr>
            <w:r w:rsidRPr="00E7259A">
              <w:rPr>
                <w:rFonts w:cs="Arial"/>
                <w:sz w:val="24"/>
                <w:szCs w:val="24"/>
              </w:rPr>
              <w:t>Rate per 1</w:t>
            </w:r>
            <w:r>
              <w:rPr>
                <w:rFonts w:cs="Arial"/>
                <w:sz w:val="24"/>
                <w:szCs w:val="24"/>
              </w:rPr>
              <w:t>0</w:t>
            </w:r>
            <w:r w:rsidRPr="00E7259A">
              <w:rPr>
                <w:rFonts w:cs="Arial"/>
                <w:sz w:val="24"/>
                <w:szCs w:val="24"/>
              </w:rPr>
              <w:t>,000 population of the ethnic population (Aged 0-</w:t>
            </w:r>
            <w:r>
              <w:rPr>
                <w:rFonts w:cs="Arial"/>
                <w:sz w:val="24"/>
                <w:szCs w:val="24"/>
              </w:rPr>
              <w:t>5</w:t>
            </w:r>
            <w:r w:rsidRPr="00E7259A">
              <w:rPr>
                <w:rFonts w:cs="Arial"/>
                <w:sz w:val="24"/>
                <w:szCs w:val="24"/>
              </w:rPr>
              <w:t>)</w:t>
            </w:r>
          </w:p>
        </w:tc>
      </w:tr>
      <w:tr w:rsidR="00003903" w:rsidRPr="00580BD2" w14:paraId="783161F2" w14:textId="77777777" w:rsidTr="00003903">
        <w:trPr>
          <w:trHeight w:hRule="exact" w:val="340"/>
        </w:trPr>
        <w:tc>
          <w:tcPr>
            <w:tcW w:w="2722" w:type="dxa"/>
            <w:vMerge/>
            <w:shd w:val="clear" w:color="auto" w:fill="E6E6E6"/>
            <w:vAlign w:val="center"/>
          </w:tcPr>
          <w:p w14:paraId="2CEDD594" w14:textId="77777777" w:rsidR="00003903" w:rsidRPr="00E7259A" w:rsidRDefault="00003903" w:rsidP="00003903">
            <w:pPr>
              <w:rPr>
                <w:rFonts w:cs="Arial"/>
                <w:bCs/>
                <w:sz w:val="24"/>
                <w:szCs w:val="24"/>
              </w:rPr>
            </w:pPr>
          </w:p>
        </w:tc>
        <w:tc>
          <w:tcPr>
            <w:tcW w:w="1560" w:type="dxa"/>
            <w:shd w:val="clear" w:color="auto" w:fill="E6E6E6"/>
            <w:vAlign w:val="center"/>
            <w:hideMark/>
          </w:tcPr>
          <w:p w14:paraId="3B2769CE" w14:textId="77777777" w:rsidR="00003903" w:rsidRPr="00E7259A" w:rsidRDefault="00003903" w:rsidP="00003903">
            <w:pPr>
              <w:rPr>
                <w:rFonts w:cs="Arial"/>
                <w:sz w:val="24"/>
                <w:szCs w:val="24"/>
              </w:rPr>
            </w:pPr>
            <w:r w:rsidRPr="00E7259A">
              <w:rPr>
                <w:rFonts w:cs="Arial"/>
                <w:bCs/>
                <w:sz w:val="24"/>
                <w:szCs w:val="24"/>
              </w:rPr>
              <w:t>2017</w:t>
            </w:r>
          </w:p>
        </w:tc>
        <w:tc>
          <w:tcPr>
            <w:tcW w:w="1701" w:type="dxa"/>
            <w:shd w:val="clear" w:color="auto" w:fill="E6E6E6"/>
            <w:vAlign w:val="center"/>
            <w:hideMark/>
          </w:tcPr>
          <w:p w14:paraId="7212D1E9" w14:textId="77777777" w:rsidR="00003903" w:rsidRPr="00E7259A" w:rsidRDefault="00003903" w:rsidP="00003903">
            <w:pPr>
              <w:rPr>
                <w:rFonts w:cs="Arial"/>
                <w:sz w:val="24"/>
                <w:szCs w:val="24"/>
              </w:rPr>
            </w:pPr>
            <w:r w:rsidRPr="00E7259A">
              <w:rPr>
                <w:rFonts w:cs="Arial"/>
                <w:sz w:val="24"/>
                <w:szCs w:val="24"/>
              </w:rPr>
              <w:t>2018</w:t>
            </w:r>
          </w:p>
        </w:tc>
        <w:tc>
          <w:tcPr>
            <w:tcW w:w="1559" w:type="dxa"/>
            <w:shd w:val="clear" w:color="auto" w:fill="E6E6E6"/>
            <w:vAlign w:val="center"/>
          </w:tcPr>
          <w:p w14:paraId="570BBBD3" w14:textId="77777777" w:rsidR="00003903" w:rsidRPr="00E7259A" w:rsidRDefault="00003903" w:rsidP="00003903">
            <w:pPr>
              <w:rPr>
                <w:rFonts w:cs="Arial"/>
                <w:sz w:val="24"/>
                <w:szCs w:val="24"/>
              </w:rPr>
            </w:pPr>
            <w:r w:rsidRPr="00E7259A">
              <w:rPr>
                <w:rFonts w:cs="Arial"/>
                <w:sz w:val="24"/>
                <w:szCs w:val="24"/>
              </w:rPr>
              <w:t>2019</w:t>
            </w:r>
          </w:p>
        </w:tc>
      </w:tr>
      <w:tr w:rsidR="00003903" w:rsidRPr="00580BD2" w14:paraId="5333B551" w14:textId="77777777" w:rsidTr="00003903">
        <w:trPr>
          <w:trHeight w:hRule="exact" w:val="340"/>
        </w:trPr>
        <w:tc>
          <w:tcPr>
            <w:tcW w:w="2722" w:type="dxa"/>
            <w:shd w:val="clear" w:color="auto" w:fill="auto"/>
            <w:vAlign w:val="center"/>
          </w:tcPr>
          <w:p w14:paraId="19876805" w14:textId="77777777" w:rsidR="00003903" w:rsidRPr="00580BD2" w:rsidRDefault="00003903" w:rsidP="00003903">
            <w:pPr>
              <w:rPr>
                <w:rFonts w:cs="Arial"/>
                <w:sz w:val="24"/>
                <w:szCs w:val="24"/>
              </w:rPr>
            </w:pPr>
            <w:r w:rsidRPr="00580BD2">
              <w:rPr>
                <w:rFonts w:cs="Arial"/>
                <w:sz w:val="24"/>
                <w:szCs w:val="24"/>
              </w:rPr>
              <w:t>White</w:t>
            </w:r>
          </w:p>
        </w:tc>
        <w:tc>
          <w:tcPr>
            <w:tcW w:w="1560" w:type="dxa"/>
          </w:tcPr>
          <w:p w14:paraId="7AAE38E4" w14:textId="77777777" w:rsidR="00003903" w:rsidRPr="0064326C" w:rsidRDefault="00003903" w:rsidP="00003903">
            <w:pPr>
              <w:spacing w:after="0" w:line="240" w:lineRule="auto"/>
              <w:jc w:val="right"/>
              <w:rPr>
                <w:rFonts w:cs="Arial"/>
                <w:sz w:val="24"/>
                <w:szCs w:val="24"/>
              </w:rPr>
            </w:pPr>
            <w:r w:rsidRPr="0064326C">
              <w:rPr>
                <w:rFonts w:ascii="Calibri" w:hAnsi="Calibri" w:cs="Calibri"/>
                <w:color w:val="000000"/>
                <w:sz w:val="24"/>
                <w:szCs w:val="24"/>
              </w:rPr>
              <w:t>58.9</w:t>
            </w:r>
          </w:p>
        </w:tc>
        <w:tc>
          <w:tcPr>
            <w:tcW w:w="1701" w:type="dxa"/>
          </w:tcPr>
          <w:p w14:paraId="08C9820F"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126.5</w:t>
            </w:r>
          </w:p>
        </w:tc>
        <w:tc>
          <w:tcPr>
            <w:tcW w:w="1559" w:type="dxa"/>
          </w:tcPr>
          <w:p w14:paraId="358F3D69"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99.3</w:t>
            </w:r>
          </w:p>
        </w:tc>
      </w:tr>
      <w:tr w:rsidR="00003903" w:rsidRPr="00580BD2" w14:paraId="37B795BE" w14:textId="77777777" w:rsidTr="00003903">
        <w:trPr>
          <w:trHeight w:hRule="exact" w:val="340"/>
        </w:trPr>
        <w:tc>
          <w:tcPr>
            <w:tcW w:w="2722" w:type="dxa"/>
            <w:shd w:val="clear" w:color="auto" w:fill="auto"/>
            <w:vAlign w:val="center"/>
          </w:tcPr>
          <w:p w14:paraId="01BFCBE8" w14:textId="77777777" w:rsidR="00003903" w:rsidRPr="00580BD2" w:rsidRDefault="00003903" w:rsidP="00003903">
            <w:pPr>
              <w:rPr>
                <w:rFonts w:cs="Arial"/>
                <w:sz w:val="24"/>
                <w:szCs w:val="24"/>
              </w:rPr>
            </w:pPr>
            <w:r w:rsidRPr="00580BD2">
              <w:rPr>
                <w:rFonts w:cs="Arial"/>
                <w:sz w:val="24"/>
                <w:szCs w:val="24"/>
              </w:rPr>
              <w:t>Asian or Asian British</w:t>
            </w:r>
          </w:p>
        </w:tc>
        <w:tc>
          <w:tcPr>
            <w:tcW w:w="1560" w:type="dxa"/>
          </w:tcPr>
          <w:p w14:paraId="35FE30D7"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17.6</w:t>
            </w:r>
          </w:p>
        </w:tc>
        <w:tc>
          <w:tcPr>
            <w:tcW w:w="1701" w:type="dxa"/>
          </w:tcPr>
          <w:p w14:paraId="73A46C5D"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87.8</w:t>
            </w:r>
          </w:p>
        </w:tc>
        <w:tc>
          <w:tcPr>
            <w:tcW w:w="1559" w:type="dxa"/>
          </w:tcPr>
          <w:p w14:paraId="05DE2ED7"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65.8</w:t>
            </w:r>
          </w:p>
        </w:tc>
      </w:tr>
      <w:tr w:rsidR="00003903" w:rsidRPr="00580BD2" w14:paraId="462EACBA" w14:textId="77777777" w:rsidTr="00003903">
        <w:trPr>
          <w:trHeight w:hRule="exact" w:val="340"/>
        </w:trPr>
        <w:tc>
          <w:tcPr>
            <w:tcW w:w="2722" w:type="dxa"/>
            <w:shd w:val="clear" w:color="auto" w:fill="auto"/>
            <w:vAlign w:val="center"/>
          </w:tcPr>
          <w:p w14:paraId="18F8773D" w14:textId="77777777" w:rsidR="00003903" w:rsidRPr="00580BD2" w:rsidRDefault="00003903" w:rsidP="00003903">
            <w:pPr>
              <w:rPr>
                <w:rFonts w:cs="Arial"/>
                <w:sz w:val="24"/>
                <w:szCs w:val="24"/>
              </w:rPr>
            </w:pPr>
            <w:r w:rsidRPr="00580BD2">
              <w:rPr>
                <w:rFonts w:cs="Arial"/>
                <w:sz w:val="24"/>
                <w:szCs w:val="24"/>
              </w:rPr>
              <w:t xml:space="preserve">Mixed </w:t>
            </w:r>
            <w:r>
              <w:rPr>
                <w:rFonts w:cs="Arial"/>
                <w:sz w:val="24"/>
                <w:szCs w:val="24"/>
              </w:rPr>
              <w:t>e</w:t>
            </w:r>
            <w:r w:rsidRPr="00580BD2">
              <w:rPr>
                <w:rFonts w:cs="Arial"/>
                <w:sz w:val="24"/>
                <w:szCs w:val="24"/>
              </w:rPr>
              <w:t>thnicity</w:t>
            </w:r>
          </w:p>
        </w:tc>
        <w:tc>
          <w:tcPr>
            <w:tcW w:w="1560" w:type="dxa"/>
          </w:tcPr>
          <w:p w14:paraId="0F031124"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57.2</w:t>
            </w:r>
          </w:p>
        </w:tc>
        <w:tc>
          <w:tcPr>
            <w:tcW w:w="1701" w:type="dxa"/>
          </w:tcPr>
          <w:p w14:paraId="03B54B7A"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294.1</w:t>
            </w:r>
          </w:p>
        </w:tc>
        <w:tc>
          <w:tcPr>
            <w:tcW w:w="1559" w:type="dxa"/>
          </w:tcPr>
          <w:p w14:paraId="5D1D400A"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200.1</w:t>
            </w:r>
          </w:p>
        </w:tc>
      </w:tr>
      <w:tr w:rsidR="00003903" w:rsidRPr="00580BD2" w14:paraId="471C10FB" w14:textId="77777777" w:rsidTr="00003903">
        <w:trPr>
          <w:trHeight w:hRule="exact" w:val="340"/>
        </w:trPr>
        <w:tc>
          <w:tcPr>
            <w:tcW w:w="2722" w:type="dxa"/>
            <w:shd w:val="clear" w:color="auto" w:fill="auto"/>
            <w:vAlign w:val="center"/>
          </w:tcPr>
          <w:p w14:paraId="07A54765" w14:textId="77777777" w:rsidR="00003903" w:rsidRPr="00580BD2" w:rsidRDefault="00003903" w:rsidP="00003903">
            <w:pPr>
              <w:rPr>
                <w:rFonts w:cs="Arial"/>
                <w:sz w:val="24"/>
                <w:szCs w:val="24"/>
              </w:rPr>
            </w:pPr>
            <w:r w:rsidRPr="00580BD2">
              <w:rPr>
                <w:rFonts w:cs="Arial"/>
                <w:sz w:val="24"/>
                <w:szCs w:val="24"/>
              </w:rPr>
              <w:t>Black or Black British</w:t>
            </w:r>
          </w:p>
        </w:tc>
        <w:tc>
          <w:tcPr>
            <w:tcW w:w="1560" w:type="dxa"/>
          </w:tcPr>
          <w:p w14:paraId="6AB0AFC7"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47.3</w:t>
            </w:r>
          </w:p>
        </w:tc>
        <w:tc>
          <w:tcPr>
            <w:tcW w:w="1701" w:type="dxa"/>
          </w:tcPr>
          <w:p w14:paraId="17544714"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189.1</w:t>
            </w:r>
          </w:p>
        </w:tc>
        <w:tc>
          <w:tcPr>
            <w:tcW w:w="1559" w:type="dxa"/>
          </w:tcPr>
          <w:p w14:paraId="17377F51"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57.8</w:t>
            </w:r>
          </w:p>
        </w:tc>
      </w:tr>
      <w:tr w:rsidR="00003903" w:rsidRPr="00580BD2" w14:paraId="5AD2730B" w14:textId="77777777" w:rsidTr="00003903">
        <w:trPr>
          <w:trHeight w:hRule="exact" w:val="340"/>
        </w:trPr>
        <w:tc>
          <w:tcPr>
            <w:tcW w:w="2722" w:type="dxa"/>
            <w:shd w:val="clear" w:color="auto" w:fill="auto"/>
            <w:vAlign w:val="center"/>
          </w:tcPr>
          <w:p w14:paraId="1AC43CC3" w14:textId="77777777" w:rsidR="00003903" w:rsidRPr="00580BD2" w:rsidRDefault="00003903" w:rsidP="00003903">
            <w:pPr>
              <w:rPr>
                <w:rFonts w:cs="Arial"/>
                <w:sz w:val="24"/>
                <w:szCs w:val="24"/>
              </w:rPr>
            </w:pPr>
            <w:r w:rsidRPr="00580BD2">
              <w:rPr>
                <w:rFonts w:cs="Arial"/>
                <w:sz w:val="24"/>
                <w:szCs w:val="24"/>
              </w:rPr>
              <w:t>Other</w:t>
            </w:r>
          </w:p>
        </w:tc>
        <w:tc>
          <w:tcPr>
            <w:tcW w:w="1560" w:type="dxa"/>
          </w:tcPr>
          <w:p w14:paraId="755BB491"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0.0</w:t>
            </w:r>
          </w:p>
        </w:tc>
        <w:tc>
          <w:tcPr>
            <w:tcW w:w="1701" w:type="dxa"/>
          </w:tcPr>
          <w:p w14:paraId="5A2B1390"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18.1</w:t>
            </w:r>
          </w:p>
        </w:tc>
        <w:tc>
          <w:tcPr>
            <w:tcW w:w="1559" w:type="dxa"/>
          </w:tcPr>
          <w:p w14:paraId="419A62F0"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36.1</w:t>
            </w:r>
          </w:p>
        </w:tc>
      </w:tr>
      <w:tr w:rsidR="00003903" w:rsidRPr="00580BD2" w14:paraId="414225A0" w14:textId="77777777" w:rsidTr="00003903">
        <w:trPr>
          <w:trHeight w:hRule="exact" w:val="340"/>
        </w:trPr>
        <w:tc>
          <w:tcPr>
            <w:tcW w:w="2722" w:type="dxa"/>
            <w:shd w:val="clear" w:color="auto" w:fill="E6E6E6"/>
            <w:vAlign w:val="center"/>
          </w:tcPr>
          <w:p w14:paraId="56944F60" w14:textId="77777777" w:rsidR="00003903" w:rsidRPr="00580BD2" w:rsidRDefault="00003903" w:rsidP="00003903">
            <w:pPr>
              <w:rPr>
                <w:rFonts w:cs="Arial"/>
                <w:b/>
                <w:sz w:val="24"/>
                <w:szCs w:val="24"/>
              </w:rPr>
            </w:pPr>
            <w:r w:rsidRPr="00580BD2">
              <w:rPr>
                <w:rFonts w:cs="Arial"/>
                <w:b/>
                <w:sz w:val="24"/>
                <w:szCs w:val="24"/>
              </w:rPr>
              <w:t>Total</w:t>
            </w:r>
          </w:p>
        </w:tc>
        <w:tc>
          <w:tcPr>
            <w:tcW w:w="1560" w:type="dxa"/>
            <w:shd w:val="clear" w:color="auto" w:fill="E6E6E6"/>
          </w:tcPr>
          <w:p w14:paraId="12B602AD" w14:textId="77777777" w:rsidR="00003903" w:rsidRPr="0064326C" w:rsidRDefault="00003903" w:rsidP="00003903">
            <w:pPr>
              <w:spacing w:after="0" w:line="240" w:lineRule="auto"/>
              <w:jc w:val="right"/>
              <w:rPr>
                <w:rFonts w:cs="Arial"/>
                <w:sz w:val="24"/>
                <w:szCs w:val="24"/>
              </w:rPr>
            </w:pPr>
            <w:r w:rsidRPr="0064326C">
              <w:rPr>
                <w:rFonts w:ascii="Calibri" w:hAnsi="Calibri" w:cs="Calibri"/>
                <w:color w:val="000000"/>
                <w:sz w:val="24"/>
                <w:szCs w:val="24"/>
              </w:rPr>
              <w:t>49.5</w:t>
            </w:r>
          </w:p>
        </w:tc>
        <w:tc>
          <w:tcPr>
            <w:tcW w:w="1701" w:type="dxa"/>
            <w:shd w:val="clear" w:color="auto" w:fill="E6E6E6"/>
          </w:tcPr>
          <w:p w14:paraId="6B91506E"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136.3</w:t>
            </w:r>
          </w:p>
        </w:tc>
        <w:tc>
          <w:tcPr>
            <w:tcW w:w="1559" w:type="dxa"/>
            <w:shd w:val="clear" w:color="auto" w:fill="E6E6E6"/>
          </w:tcPr>
          <w:p w14:paraId="40C784E5" w14:textId="77777777" w:rsidR="00003903" w:rsidRPr="0064326C" w:rsidRDefault="00003903" w:rsidP="00003903">
            <w:pPr>
              <w:jc w:val="right"/>
              <w:rPr>
                <w:rFonts w:cs="Arial"/>
                <w:sz w:val="24"/>
                <w:szCs w:val="24"/>
              </w:rPr>
            </w:pPr>
            <w:r w:rsidRPr="0064326C">
              <w:rPr>
                <w:rFonts w:ascii="Calibri" w:hAnsi="Calibri" w:cs="Calibri"/>
                <w:color w:val="000000"/>
                <w:sz w:val="24"/>
                <w:szCs w:val="24"/>
              </w:rPr>
              <w:t>96.5</w:t>
            </w:r>
          </w:p>
        </w:tc>
      </w:tr>
    </w:tbl>
    <w:p w14:paraId="21AA3C33" w14:textId="77777777" w:rsidR="00003903" w:rsidRDefault="00003903" w:rsidP="00003903">
      <w:pPr>
        <w:rPr>
          <w:sz w:val="24"/>
          <w:szCs w:val="24"/>
        </w:rPr>
      </w:pPr>
      <w:r w:rsidRPr="00580BD2">
        <w:rPr>
          <w:rFonts w:cs="Arial"/>
          <w:sz w:val="24"/>
          <w:szCs w:val="24"/>
        </w:rPr>
        <w:t xml:space="preserve">Source: </w:t>
      </w:r>
      <w:r w:rsidRPr="0064057C">
        <w:rPr>
          <w:sz w:val="24"/>
          <w:szCs w:val="24"/>
        </w:rPr>
        <w:t>Sandwell Children’s Trust</w:t>
      </w:r>
    </w:p>
    <w:p w14:paraId="1AD43889" w14:textId="77777777" w:rsidR="00003903" w:rsidRDefault="00003903" w:rsidP="00003903">
      <w:pPr>
        <w:rPr>
          <w:rFonts w:cs="Arial"/>
          <w:sz w:val="24"/>
          <w:szCs w:val="24"/>
        </w:rPr>
      </w:pPr>
    </w:p>
    <w:p w14:paraId="5A89A899" w14:textId="17A35362" w:rsidR="00003903" w:rsidRPr="003C57E3" w:rsidRDefault="00003903" w:rsidP="00003903">
      <w:pPr>
        <w:rPr>
          <w:rFonts w:cs="Arial"/>
          <w:color w:val="FF0000"/>
          <w:sz w:val="24"/>
          <w:szCs w:val="24"/>
        </w:rPr>
      </w:pPr>
      <w:r w:rsidRPr="001110B8">
        <w:rPr>
          <w:rFonts w:cs="Arial"/>
          <w:sz w:val="24"/>
          <w:szCs w:val="24"/>
        </w:rPr>
        <w:t>Table 3.</w:t>
      </w:r>
      <w:r w:rsidR="00D05BB1">
        <w:rPr>
          <w:rFonts w:cs="Arial"/>
          <w:sz w:val="24"/>
          <w:szCs w:val="24"/>
        </w:rPr>
        <w:t>7</w:t>
      </w:r>
      <w:r w:rsidRPr="001110B8">
        <w:rPr>
          <w:rFonts w:cs="Arial"/>
          <w:sz w:val="24"/>
          <w:szCs w:val="24"/>
        </w:rPr>
        <w:t xml:space="preserve"> shows the number of cases per 1</w:t>
      </w:r>
      <w:r>
        <w:rPr>
          <w:rFonts w:cs="Arial"/>
          <w:sz w:val="24"/>
          <w:szCs w:val="24"/>
        </w:rPr>
        <w:t>0</w:t>
      </w:r>
      <w:r w:rsidRPr="001110B8">
        <w:rPr>
          <w:rFonts w:cs="Arial"/>
          <w:sz w:val="24"/>
          <w:szCs w:val="24"/>
        </w:rPr>
        <w:t xml:space="preserve">,000 population for each ethnic group for 0-5s.  This table shows that the number of cases are particularly high among children of mixed ethnicity and lowest among children from “other” ethnic groups.  Further investigation is required to determine if this is a true reflection of need or represents under-referral from specific ethnic groups. </w:t>
      </w:r>
      <w:r w:rsidRPr="003C57E3">
        <w:rPr>
          <w:rFonts w:cs="Arial"/>
          <w:color w:val="FF0000"/>
          <w:sz w:val="24"/>
          <w:szCs w:val="24"/>
        </w:rPr>
        <w:t xml:space="preserve"> </w:t>
      </w:r>
    </w:p>
    <w:p w14:paraId="58F38F2D" w14:textId="67265548" w:rsidR="00003903" w:rsidRPr="002F2ED0" w:rsidRDefault="005B1F6D" w:rsidP="005B1F6D">
      <w:pPr>
        <w:pStyle w:val="Heading2"/>
      </w:pPr>
      <w:bookmarkStart w:id="28" w:name="_Hlk13839358"/>
      <w:r>
        <w:br/>
      </w:r>
      <w:r w:rsidR="00003903" w:rsidRPr="002F2ED0">
        <w:t>Children</w:t>
      </w:r>
      <w:r w:rsidR="00003903">
        <w:t xml:space="preserve"> in Care</w:t>
      </w:r>
    </w:p>
    <w:bookmarkEnd w:id="28"/>
    <w:p w14:paraId="12C89DC6" w14:textId="77777777" w:rsidR="00003903" w:rsidRPr="009163D6" w:rsidRDefault="00003903" w:rsidP="00003903">
      <w:pPr>
        <w:rPr>
          <w:rFonts w:eastAsia="Times New Roman" w:cstheme="minorHAnsi"/>
          <w:sz w:val="24"/>
          <w:szCs w:val="24"/>
        </w:rPr>
      </w:pPr>
      <w:r w:rsidRPr="009163D6">
        <w:rPr>
          <w:rFonts w:cstheme="minorHAnsi"/>
          <w:sz w:val="24"/>
          <w:szCs w:val="24"/>
        </w:rPr>
        <w:t>Looked after children come from a range of different backgrounds and have varied experiences of care. Each child has their own different and specific sets of needs. However research can give us an insight into how their experiences before and during care makes them a particularly vulnerable group of young people.</w:t>
      </w:r>
    </w:p>
    <w:p w14:paraId="3559620A" w14:textId="77777777" w:rsidR="00003903" w:rsidRPr="00E30BC4" w:rsidRDefault="00003903" w:rsidP="00B13D4A">
      <w:pPr>
        <w:pStyle w:val="ListParagraph"/>
        <w:numPr>
          <w:ilvl w:val="0"/>
          <w:numId w:val="22"/>
        </w:numPr>
        <w:rPr>
          <w:rFonts w:cstheme="minorHAnsi"/>
          <w:b/>
          <w:sz w:val="24"/>
          <w:szCs w:val="24"/>
        </w:rPr>
      </w:pPr>
      <w:r w:rsidRPr="00E30BC4">
        <w:rPr>
          <w:rFonts w:cstheme="minorHAnsi"/>
          <w:b/>
          <w:sz w:val="24"/>
          <w:szCs w:val="24"/>
        </w:rPr>
        <w:t>Previous experiences of abuse</w:t>
      </w:r>
    </w:p>
    <w:p w14:paraId="4112DA72" w14:textId="77777777" w:rsidR="00003903" w:rsidRDefault="00003903" w:rsidP="00003903">
      <w:pPr>
        <w:pStyle w:val="ListParagraph"/>
        <w:rPr>
          <w:rFonts w:cstheme="minorHAnsi"/>
          <w:sz w:val="24"/>
          <w:szCs w:val="24"/>
        </w:rPr>
      </w:pPr>
      <w:r>
        <w:rPr>
          <w:rFonts w:cstheme="minorHAnsi"/>
          <w:sz w:val="24"/>
          <w:szCs w:val="24"/>
        </w:rPr>
        <w:t>M</w:t>
      </w:r>
      <w:r w:rsidRPr="00E30BC4">
        <w:rPr>
          <w:rFonts w:cstheme="minorHAnsi"/>
          <w:sz w:val="24"/>
          <w:szCs w:val="24"/>
        </w:rPr>
        <w:t xml:space="preserve">any </w:t>
      </w:r>
      <w:r>
        <w:rPr>
          <w:rFonts w:cstheme="minorHAnsi"/>
          <w:sz w:val="24"/>
          <w:szCs w:val="24"/>
        </w:rPr>
        <w:t>children enter care</w:t>
      </w:r>
      <w:r w:rsidRPr="00E30BC4">
        <w:rPr>
          <w:rFonts w:cstheme="minorHAnsi"/>
          <w:sz w:val="24"/>
          <w:szCs w:val="24"/>
        </w:rPr>
        <w:t xml:space="preserve"> because they have been abused or neglected. These experiences can leave children with complex emotional and mental health needs, which can increase their vulnerability to abuse (Bazalgette, Rahilly, and Trevelyan, 2015; Luke et al, 2014).</w:t>
      </w:r>
    </w:p>
    <w:p w14:paraId="0B5325D4" w14:textId="77777777" w:rsidR="00003903" w:rsidRPr="00E30BC4" w:rsidRDefault="00003903" w:rsidP="00B13D4A">
      <w:pPr>
        <w:pStyle w:val="ListParagraph"/>
        <w:numPr>
          <w:ilvl w:val="0"/>
          <w:numId w:val="22"/>
        </w:numPr>
        <w:rPr>
          <w:rFonts w:cstheme="minorHAnsi"/>
          <w:b/>
          <w:sz w:val="24"/>
          <w:szCs w:val="24"/>
        </w:rPr>
      </w:pPr>
      <w:r w:rsidRPr="00E30BC4">
        <w:rPr>
          <w:rFonts w:cstheme="minorHAnsi"/>
          <w:b/>
          <w:sz w:val="24"/>
          <w:szCs w:val="24"/>
        </w:rPr>
        <w:t>Placement instability and disrupted relationships with caregivers</w:t>
      </w:r>
    </w:p>
    <w:p w14:paraId="0FDEE466" w14:textId="77777777" w:rsidR="00003903" w:rsidRDefault="00003903" w:rsidP="00003903">
      <w:pPr>
        <w:pStyle w:val="ListParagraph"/>
        <w:rPr>
          <w:rFonts w:cstheme="minorHAnsi"/>
          <w:sz w:val="24"/>
          <w:szCs w:val="24"/>
        </w:rPr>
      </w:pPr>
      <w:r w:rsidRPr="00E30BC4">
        <w:rPr>
          <w:rFonts w:cstheme="minorHAnsi"/>
          <w:sz w:val="24"/>
          <w:szCs w:val="24"/>
        </w:rPr>
        <w:t>Many children move repeatedly in and out of care, or between placements. Placement breakdowns can have a detrimental impact on a child's emotional wellbeing and mental health</w:t>
      </w:r>
      <w:r>
        <w:rPr>
          <w:rFonts w:cstheme="minorHAnsi"/>
          <w:sz w:val="24"/>
          <w:szCs w:val="24"/>
        </w:rPr>
        <w:t xml:space="preserve"> and </w:t>
      </w:r>
      <w:r w:rsidRPr="00E30BC4">
        <w:rPr>
          <w:rFonts w:cstheme="minorHAnsi"/>
          <w:sz w:val="24"/>
          <w:szCs w:val="24"/>
        </w:rPr>
        <w:t>can prevent them forming stable relationships with the adults who could help protect them (Rahilly and Hendry, 2014).</w:t>
      </w:r>
    </w:p>
    <w:p w14:paraId="74ECE13D" w14:textId="77777777" w:rsidR="00003903" w:rsidRPr="00E30BC4" w:rsidRDefault="00003903" w:rsidP="00B13D4A">
      <w:pPr>
        <w:pStyle w:val="ListParagraph"/>
        <w:numPr>
          <w:ilvl w:val="0"/>
          <w:numId w:val="22"/>
        </w:numPr>
        <w:rPr>
          <w:rFonts w:cstheme="minorHAnsi"/>
          <w:b/>
          <w:sz w:val="24"/>
          <w:szCs w:val="24"/>
        </w:rPr>
      </w:pPr>
      <w:r w:rsidRPr="00E30BC4">
        <w:rPr>
          <w:rFonts w:cstheme="minorHAnsi"/>
          <w:b/>
          <w:sz w:val="24"/>
          <w:szCs w:val="24"/>
        </w:rPr>
        <w:t>Peer violence and abuse</w:t>
      </w:r>
    </w:p>
    <w:p w14:paraId="3E89C63D" w14:textId="77777777" w:rsidR="00003903" w:rsidRPr="00E30BC4" w:rsidRDefault="00003903" w:rsidP="00003903">
      <w:pPr>
        <w:pStyle w:val="ListParagraph"/>
        <w:rPr>
          <w:rFonts w:cstheme="minorHAnsi"/>
          <w:sz w:val="24"/>
          <w:szCs w:val="24"/>
        </w:rPr>
      </w:pPr>
      <w:r w:rsidRPr="00E30BC4">
        <w:rPr>
          <w:rFonts w:cstheme="minorHAnsi"/>
          <w:sz w:val="24"/>
          <w:szCs w:val="24"/>
        </w:rPr>
        <w:t>Many looked after children have previous experiences of violence, abuse or neglect. Often they display behavioural problems and attachment difficulties which are associated with their negative life experiences. This means that some find it hard to develop positive peer relationships.</w:t>
      </w:r>
    </w:p>
    <w:p w14:paraId="4686ED59" w14:textId="77777777" w:rsidR="00003903" w:rsidRPr="009163D6" w:rsidRDefault="00003903" w:rsidP="00003903">
      <w:pPr>
        <w:ind w:left="720"/>
        <w:rPr>
          <w:rFonts w:cstheme="minorHAnsi"/>
          <w:sz w:val="24"/>
          <w:szCs w:val="24"/>
        </w:rPr>
      </w:pPr>
      <w:r w:rsidRPr="009163D6">
        <w:rPr>
          <w:rFonts w:cstheme="minorHAnsi"/>
          <w:sz w:val="24"/>
          <w:szCs w:val="24"/>
        </w:rPr>
        <w:t>The care system can struggle to provide effective management and interventions to address these problems (Bazalgette, Rahilly, and Trevelyan, 2015).</w:t>
      </w:r>
    </w:p>
    <w:p w14:paraId="414C4B58" w14:textId="77777777" w:rsidR="00003903" w:rsidRPr="00E30BC4" w:rsidRDefault="00003903" w:rsidP="00B13D4A">
      <w:pPr>
        <w:pStyle w:val="ListParagraph"/>
        <w:numPr>
          <w:ilvl w:val="0"/>
          <w:numId w:val="22"/>
        </w:numPr>
        <w:rPr>
          <w:rFonts w:cstheme="minorHAnsi"/>
          <w:sz w:val="24"/>
          <w:szCs w:val="24"/>
        </w:rPr>
      </w:pPr>
      <w:r w:rsidRPr="00E30BC4">
        <w:rPr>
          <w:rFonts w:cstheme="minorHAnsi"/>
          <w:b/>
          <w:sz w:val="24"/>
          <w:szCs w:val="24"/>
        </w:rPr>
        <w:t>Comparisons with other groups of children</w:t>
      </w:r>
    </w:p>
    <w:p w14:paraId="05D58774" w14:textId="77777777" w:rsidR="003E2F42" w:rsidRDefault="00003903" w:rsidP="00B56B3F">
      <w:pPr>
        <w:pStyle w:val="ListParagraph"/>
        <w:contextualSpacing w:val="0"/>
        <w:rPr>
          <w:rFonts w:cstheme="minorHAnsi"/>
          <w:sz w:val="24"/>
          <w:szCs w:val="24"/>
          <w:lang w:val="en-US"/>
        </w:rPr>
      </w:pPr>
      <w:r w:rsidRPr="00E30BC4">
        <w:rPr>
          <w:rFonts w:cstheme="minorHAnsi"/>
          <w:sz w:val="24"/>
          <w:szCs w:val="24"/>
        </w:rPr>
        <w:t>Research suggests that when looked after children are compared with children in the general population, they tend to have poorer outcomes in a number of areas such as educational attainment and mental and physical health (Rahilly and Hendry, 2014).</w:t>
      </w:r>
      <w:r>
        <w:rPr>
          <w:rFonts w:cstheme="minorHAnsi"/>
          <w:sz w:val="24"/>
          <w:szCs w:val="24"/>
        </w:rPr>
        <w:t xml:space="preserve"> They are also more likely to end up NEET at the age of 16 (</w:t>
      </w:r>
      <w:r w:rsidRPr="009163D6">
        <w:rPr>
          <w:rFonts w:cstheme="minorHAnsi"/>
          <w:sz w:val="24"/>
          <w:szCs w:val="24"/>
          <w:lang w:val="en-US"/>
        </w:rPr>
        <w:t>not in employment, education or training</w:t>
      </w:r>
      <w:r>
        <w:rPr>
          <w:rFonts w:cstheme="minorHAnsi"/>
          <w:sz w:val="24"/>
          <w:szCs w:val="24"/>
          <w:lang w:val="en-US"/>
        </w:rPr>
        <w:t>).</w:t>
      </w:r>
      <w:r w:rsidR="003E2F42">
        <w:rPr>
          <w:rFonts w:cstheme="minorHAnsi"/>
          <w:sz w:val="24"/>
          <w:szCs w:val="24"/>
          <w:lang w:val="en-US"/>
        </w:rPr>
        <w:t xml:space="preserve"> </w:t>
      </w:r>
    </w:p>
    <w:p w14:paraId="5E8D7B40" w14:textId="1192A61A" w:rsidR="00003903" w:rsidRDefault="00003903" w:rsidP="00B56B3F">
      <w:pPr>
        <w:pStyle w:val="ListParagraph"/>
        <w:contextualSpacing w:val="0"/>
        <w:rPr>
          <w:rFonts w:cs="Arial"/>
          <w:sz w:val="24"/>
          <w:szCs w:val="24"/>
        </w:rPr>
      </w:pPr>
      <w:r w:rsidRPr="009163D6">
        <w:rPr>
          <w:rFonts w:cstheme="minorHAnsi"/>
          <w:sz w:val="24"/>
          <w:szCs w:val="24"/>
        </w:rPr>
        <w:t>However, this is not necessarily the case when they are compared with other groups of children who are likely to have had similar experiences, such as children in need. One study, which analysed Government data, found that looked after children who were continuously in care in England had better educational attainment than children in need (Sebba et al, 2015)</w:t>
      </w:r>
      <w:r>
        <w:rPr>
          <w:rFonts w:cstheme="minorHAnsi"/>
          <w:sz w:val="24"/>
          <w:szCs w:val="24"/>
        </w:rPr>
        <w:t>.</w:t>
      </w:r>
    </w:p>
    <w:p w14:paraId="0232A8C4" w14:textId="33D0260A" w:rsidR="008A3035" w:rsidRDefault="008A3035" w:rsidP="008A3035">
      <w:pPr>
        <w:spacing w:before="60" w:after="60" w:line="240" w:lineRule="auto"/>
        <w:ind w:right="-472"/>
        <w:rPr>
          <w:rFonts w:cstheme="minorHAnsi"/>
          <w:sz w:val="24"/>
          <w:szCs w:val="24"/>
        </w:rPr>
      </w:pPr>
    </w:p>
    <w:p w14:paraId="53501D95" w14:textId="77777777" w:rsidR="006F2543" w:rsidRDefault="006F2543" w:rsidP="008A3035">
      <w:pPr>
        <w:spacing w:before="60" w:after="60" w:line="240" w:lineRule="auto"/>
        <w:ind w:right="-472"/>
        <w:rPr>
          <w:rFonts w:cstheme="minorHAnsi"/>
          <w:sz w:val="24"/>
          <w:szCs w:val="24"/>
        </w:rPr>
      </w:pPr>
    </w:p>
    <w:p w14:paraId="3CC52552" w14:textId="28FF969F" w:rsidR="00003903" w:rsidRPr="004B7F3D" w:rsidRDefault="00003903" w:rsidP="00003903">
      <w:pPr>
        <w:rPr>
          <w:rFonts w:cs="Arial"/>
          <w:b/>
          <w:sz w:val="24"/>
          <w:szCs w:val="24"/>
        </w:rPr>
      </w:pPr>
      <w:r w:rsidRPr="004B7F3D">
        <w:rPr>
          <w:rFonts w:cs="Arial"/>
          <w:b/>
          <w:sz w:val="24"/>
          <w:szCs w:val="24"/>
        </w:rPr>
        <w:t>Figure 3.8</w:t>
      </w:r>
      <w:r w:rsidR="00D05BB1">
        <w:rPr>
          <w:rFonts w:cs="Arial"/>
          <w:b/>
          <w:sz w:val="24"/>
          <w:szCs w:val="24"/>
        </w:rPr>
        <w:t>:</w:t>
      </w:r>
      <w:r w:rsidRPr="004B7F3D">
        <w:rPr>
          <w:rFonts w:cs="Arial"/>
          <w:b/>
          <w:sz w:val="24"/>
          <w:szCs w:val="24"/>
        </w:rPr>
        <w:t xml:space="preserve"> Rate of children </w:t>
      </w:r>
      <w:r>
        <w:rPr>
          <w:rFonts w:cs="Arial"/>
          <w:b/>
          <w:sz w:val="24"/>
          <w:szCs w:val="24"/>
        </w:rPr>
        <w:t>in care</w:t>
      </w:r>
      <w:r w:rsidRPr="004B7F3D">
        <w:rPr>
          <w:rFonts w:cs="Arial"/>
          <w:b/>
          <w:sz w:val="24"/>
          <w:szCs w:val="24"/>
        </w:rPr>
        <w:t xml:space="preserve"> </w:t>
      </w:r>
      <w:r>
        <w:rPr>
          <w:rFonts w:cs="Arial"/>
          <w:b/>
          <w:sz w:val="24"/>
          <w:szCs w:val="24"/>
        </w:rPr>
        <w:t xml:space="preserve">as </w:t>
      </w:r>
      <w:r w:rsidRPr="004B7F3D">
        <w:rPr>
          <w:rFonts w:cs="Arial"/>
          <w:b/>
          <w:sz w:val="24"/>
          <w:szCs w:val="24"/>
        </w:rPr>
        <w:t>at 31</w:t>
      </w:r>
      <w:r w:rsidRPr="009916E7">
        <w:rPr>
          <w:rFonts w:cs="Arial"/>
          <w:b/>
          <w:sz w:val="24"/>
          <w:szCs w:val="24"/>
          <w:vertAlign w:val="superscript"/>
        </w:rPr>
        <w:t>st</w:t>
      </w:r>
      <w:r>
        <w:rPr>
          <w:rFonts w:cs="Arial"/>
          <w:b/>
          <w:sz w:val="24"/>
          <w:szCs w:val="24"/>
        </w:rPr>
        <w:t xml:space="preserve"> </w:t>
      </w:r>
      <w:r w:rsidRPr="004B7F3D">
        <w:rPr>
          <w:rFonts w:cs="Arial"/>
          <w:b/>
          <w:sz w:val="24"/>
          <w:szCs w:val="24"/>
        </w:rPr>
        <w:t>March per 10,000 children aged under 18 years</w:t>
      </w:r>
    </w:p>
    <w:p w14:paraId="72359706" w14:textId="77777777" w:rsidR="00003903" w:rsidRPr="00580BD2" w:rsidRDefault="00003903" w:rsidP="00003903">
      <w:pPr>
        <w:rPr>
          <w:rFonts w:cs="Arial"/>
          <w:sz w:val="24"/>
          <w:szCs w:val="24"/>
        </w:rPr>
      </w:pPr>
      <w:r>
        <w:rPr>
          <w:noProof/>
        </w:rPr>
        <w:drawing>
          <wp:inline distT="0" distB="0" distL="0" distR="0" wp14:anchorId="36142C8D" wp14:editId="1FFE0895">
            <wp:extent cx="5575300" cy="3321050"/>
            <wp:effectExtent l="0" t="0" r="6350" b="12700"/>
            <wp:docPr id="43" name="Chart 43">
              <a:extLst xmlns:a="http://schemas.openxmlformats.org/drawingml/2006/main">
                <a:ext uri="{FF2B5EF4-FFF2-40B4-BE49-F238E27FC236}">
                  <a16:creationId xmlns:a16="http://schemas.microsoft.com/office/drawing/2014/main" id="{A50FDE93-2B0A-4C4F-B2F6-C614AA694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CEFB206" w14:textId="77777777" w:rsidR="00003903" w:rsidRDefault="00003903" w:rsidP="00003903">
      <w:pPr>
        <w:spacing w:line="276" w:lineRule="auto"/>
        <w:rPr>
          <w:rFonts w:cs="Arial"/>
          <w:sz w:val="24"/>
          <w:szCs w:val="24"/>
        </w:rPr>
      </w:pPr>
      <w:r>
        <w:rPr>
          <w:rFonts w:cs="Arial"/>
          <w:sz w:val="24"/>
          <w:szCs w:val="24"/>
        </w:rPr>
        <w:t>Source: Sandwell Children’s Trust</w:t>
      </w:r>
    </w:p>
    <w:p w14:paraId="628D58EF" w14:textId="77777777" w:rsidR="00003903" w:rsidRDefault="00003903" w:rsidP="00003903">
      <w:pPr>
        <w:rPr>
          <w:rFonts w:cstheme="minorHAnsi"/>
          <w:b/>
          <w:sz w:val="24"/>
          <w:szCs w:val="24"/>
        </w:rPr>
      </w:pPr>
    </w:p>
    <w:p w14:paraId="1A272CBB" w14:textId="77777777" w:rsidR="00003903" w:rsidRPr="00580BD2" w:rsidRDefault="00003903" w:rsidP="00003903">
      <w:pPr>
        <w:rPr>
          <w:rFonts w:cstheme="majorHAnsi"/>
          <w:sz w:val="24"/>
          <w:szCs w:val="24"/>
        </w:rPr>
      </w:pPr>
      <w:r>
        <w:rPr>
          <w:rFonts w:cs="Arial"/>
          <w:sz w:val="24"/>
          <w:szCs w:val="24"/>
        </w:rPr>
        <w:t xml:space="preserve">In 2018/19, </w:t>
      </w:r>
      <w:r w:rsidRPr="00580BD2">
        <w:rPr>
          <w:rFonts w:cs="Arial"/>
          <w:sz w:val="24"/>
          <w:szCs w:val="24"/>
        </w:rPr>
        <w:t>Sandwell has 10</w:t>
      </w:r>
      <w:r>
        <w:rPr>
          <w:rFonts w:cs="Arial"/>
          <w:sz w:val="24"/>
          <w:szCs w:val="24"/>
        </w:rPr>
        <w:t>9</w:t>
      </w:r>
      <w:r w:rsidRPr="00580BD2">
        <w:rPr>
          <w:rFonts w:cs="Arial"/>
          <w:sz w:val="24"/>
          <w:szCs w:val="24"/>
        </w:rPr>
        <w:t>.</w:t>
      </w:r>
      <w:r>
        <w:rPr>
          <w:rFonts w:cs="Arial"/>
          <w:sz w:val="24"/>
          <w:szCs w:val="24"/>
        </w:rPr>
        <w:t>0</w:t>
      </w:r>
      <w:r w:rsidRPr="00580BD2">
        <w:rPr>
          <w:rFonts w:cs="Arial"/>
          <w:sz w:val="24"/>
          <w:szCs w:val="24"/>
        </w:rPr>
        <w:t xml:space="preserve"> per 10,000 </w:t>
      </w:r>
      <w:r>
        <w:rPr>
          <w:rFonts w:cs="Arial"/>
          <w:sz w:val="24"/>
          <w:szCs w:val="24"/>
        </w:rPr>
        <w:t>c</w:t>
      </w:r>
      <w:r>
        <w:rPr>
          <w:rFonts w:cstheme="majorHAnsi"/>
          <w:sz w:val="24"/>
          <w:szCs w:val="24"/>
        </w:rPr>
        <w:t>hildren in care</w:t>
      </w:r>
      <w:r w:rsidRPr="00580BD2">
        <w:rPr>
          <w:rFonts w:cs="Arial"/>
          <w:sz w:val="24"/>
          <w:szCs w:val="24"/>
        </w:rPr>
        <w:t xml:space="preserve"> age </w:t>
      </w:r>
      <w:r>
        <w:rPr>
          <w:rFonts w:cs="Arial"/>
          <w:sz w:val="24"/>
          <w:szCs w:val="24"/>
        </w:rPr>
        <w:t xml:space="preserve">under </w:t>
      </w:r>
      <w:r w:rsidRPr="00580BD2">
        <w:rPr>
          <w:rFonts w:cs="Arial"/>
          <w:sz w:val="24"/>
          <w:szCs w:val="24"/>
        </w:rPr>
        <w:t>18 years</w:t>
      </w:r>
      <w:r>
        <w:rPr>
          <w:rFonts w:cs="Arial"/>
          <w:sz w:val="24"/>
          <w:szCs w:val="24"/>
        </w:rPr>
        <w:t xml:space="preserve">, and there has been </w:t>
      </w:r>
      <w:r w:rsidRPr="00580BD2">
        <w:rPr>
          <w:rFonts w:cs="Arial"/>
          <w:sz w:val="24"/>
          <w:szCs w:val="24"/>
        </w:rPr>
        <w:t>a 1</w:t>
      </w:r>
      <w:r>
        <w:rPr>
          <w:rFonts w:cs="Arial"/>
          <w:sz w:val="24"/>
          <w:szCs w:val="24"/>
        </w:rPr>
        <w:t>8</w:t>
      </w:r>
      <w:r w:rsidRPr="00580BD2">
        <w:rPr>
          <w:rFonts w:cs="Arial"/>
          <w:sz w:val="24"/>
          <w:szCs w:val="24"/>
        </w:rPr>
        <w:t>.</w:t>
      </w:r>
      <w:r>
        <w:rPr>
          <w:rFonts w:cs="Arial"/>
          <w:sz w:val="24"/>
          <w:szCs w:val="24"/>
        </w:rPr>
        <w:t>5</w:t>
      </w:r>
      <w:r w:rsidRPr="00580BD2">
        <w:rPr>
          <w:rFonts w:cs="Arial"/>
          <w:sz w:val="24"/>
          <w:szCs w:val="24"/>
        </w:rPr>
        <w:t xml:space="preserve">% increase </w:t>
      </w:r>
      <w:r>
        <w:rPr>
          <w:rFonts w:cs="Arial"/>
          <w:sz w:val="24"/>
          <w:szCs w:val="24"/>
        </w:rPr>
        <w:t xml:space="preserve">since </w:t>
      </w:r>
      <w:r w:rsidRPr="00580BD2">
        <w:rPr>
          <w:rFonts w:cs="Arial"/>
          <w:sz w:val="24"/>
          <w:szCs w:val="24"/>
        </w:rPr>
        <w:t xml:space="preserve">2017/18. There has been a gradual increase of the rates per 10,000 of </w:t>
      </w:r>
      <w:r>
        <w:rPr>
          <w:rFonts w:cs="Arial"/>
          <w:sz w:val="24"/>
          <w:szCs w:val="24"/>
        </w:rPr>
        <w:t>children in care</w:t>
      </w:r>
      <w:r w:rsidRPr="00580BD2">
        <w:rPr>
          <w:rFonts w:cs="Arial"/>
          <w:sz w:val="24"/>
          <w:szCs w:val="24"/>
        </w:rPr>
        <w:t xml:space="preserve"> in Sandwell when compared to England and West Midland </w:t>
      </w:r>
      <w:r>
        <w:rPr>
          <w:rFonts w:cs="Arial"/>
          <w:sz w:val="24"/>
          <w:szCs w:val="24"/>
        </w:rPr>
        <w:t xml:space="preserve">averages, and in </w:t>
      </w:r>
      <w:r w:rsidRPr="00580BD2">
        <w:rPr>
          <w:rFonts w:cstheme="majorHAnsi"/>
          <w:sz w:val="24"/>
          <w:szCs w:val="24"/>
        </w:rPr>
        <w:t>201</w:t>
      </w:r>
      <w:r>
        <w:rPr>
          <w:rFonts w:cstheme="majorHAnsi"/>
          <w:sz w:val="24"/>
          <w:szCs w:val="24"/>
        </w:rPr>
        <w:t>8/</w:t>
      </w:r>
      <w:r w:rsidRPr="00580BD2">
        <w:rPr>
          <w:rFonts w:cstheme="majorHAnsi"/>
          <w:sz w:val="24"/>
          <w:szCs w:val="24"/>
        </w:rPr>
        <w:t>1</w:t>
      </w:r>
      <w:r>
        <w:rPr>
          <w:rFonts w:cstheme="majorHAnsi"/>
          <w:sz w:val="24"/>
          <w:szCs w:val="24"/>
        </w:rPr>
        <w:t>9</w:t>
      </w:r>
      <w:r w:rsidRPr="00580BD2">
        <w:rPr>
          <w:rFonts w:cstheme="majorHAnsi"/>
          <w:sz w:val="24"/>
          <w:szCs w:val="24"/>
        </w:rPr>
        <w:t xml:space="preserve"> </w:t>
      </w:r>
      <w:r>
        <w:rPr>
          <w:rFonts w:cstheme="majorHAnsi"/>
          <w:sz w:val="24"/>
          <w:szCs w:val="24"/>
        </w:rPr>
        <w:t xml:space="preserve">Sandwell </w:t>
      </w:r>
      <w:r w:rsidRPr="00580BD2">
        <w:rPr>
          <w:rFonts w:cstheme="majorHAnsi"/>
          <w:sz w:val="24"/>
          <w:szCs w:val="24"/>
        </w:rPr>
        <w:t>had higher rates than all comparators</w:t>
      </w:r>
      <w:r>
        <w:rPr>
          <w:rFonts w:cstheme="majorHAnsi"/>
          <w:sz w:val="24"/>
          <w:szCs w:val="24"/>
        </w:rPr>
        <w:t xml:space="preserve"> - S</w:t>
      </w:r>
      <w:r w:rsidRPr="00580BD2">
        <w:rPr>
          <w:rFonts w:cstheme="majorHAnsi"/>
          <w:sz w:val="24"/>
          <w:szCs w:val="24"/>
        </w:rPr>
        <w:t>andwell (</w:t>
      </w:r>
      <w:r>
        <w:rPr>
          <w:rFonts w:cstheme="majorHAnsi"/>
          <w:sz w:val="24"/>
          <w:szCs w:val="24"/>
        </w:rPr>
        <w:t>109</w:t>
      </w:r>
      <w:r w:rsidRPr="00580BD2">
        <w:rPr>
          <w:rFonts w:cstheme="majorHAnsi"/>
          <w:sz w:val="24"/>
          <w:szCs w:val="24"/>
        </w:rPr>
        <w:t>); Statistical Neighbours (</w:t>
      </w:r>
      <w:r>
        <w:rPr>
          <w:rFonts w:cstheme="majorHAnsi"/>
          <w:sz w:val="24"/>
          <w:szCs w:val="24"/>
        </w:rPr>
        <w:t>93</w:t>
      </w:r>
      <w:r w:rsidRPr="00580BD2">
        <w:rPr>
          <w:rFonts w:cstheme="majorHAnsi"/>
          <w:sz w:val="24"/>
          <w:szCs w:val="24"/>
        </w:rPr>
        <w:t>); England (6</w:t>
      </w:r>
      <w:r>
        <w:rPr>
          <w:rFonts w:cstheme="majorHAnsi"/>
          <w:sz w:val="24"/>
          <w:szCs w:val="24"/>
        </w:rPr>
        <w:t>5</w:t>
      </w:r>
      <w:r w:rsidRPr="00580BD2">
        <w:rPr>
          <w:rFonts w:cstheme="majorHAnsi"/>
          <w:sz w:val="24"/>
          <w:szCs w:val="24"/>
        </w:rPr>
        <w:t>); West Midlands (8</w:t>
      </w:r>
      <w:r>
        <w:rPr>
          <w:rFonts w:cstheme="majorHAnsi"/>
          <w:sz w:val="24"/>
          <w:szCs w:val="24"/>
        </w:rPr>
        <w:t>2</w:t>
      </w:r>
      <w:r w:rsidRPr="00580BD2">
        <w:rPr>
          <w:rFonts w:cstheme="majorHAnsi"/>
          <w:sz w:val="24"/>
          <w:szCs w:val="24"/>
        </w:rPr>
        <w:t>)</w:t>
      </w:r>
      <w:r>
        <w:rPr>
          <w:rFonts w:cstheme="majorHAnsi"/>
          <w:sz w:val="24"/>
          <w:szCs w:val="24"/>
        </w:rPr>
        <w:t>.  Whilst entries into care were higher immediately after the Trust went live (relating to addressing the children with a Child Protection Plan), this stabilised after some months.  Our challenge has been, and continues to be children who remain in our care until 18.</w:t>
      </w:r>
    </w:p>
    <w:p w14:paraId="6BEBC777" w14:textId="77777777" w:rsidR="00003903" w:rsidRDefault="00003903" w:rsidP="00003903">
      <w:pPr>
        <w:rPr>
          <w:rFonts w:cs="Arial"/>
          <w:b/>
          <w:sz w:val="24"/>
          <w:szCs w:val="24"/>
        </w:rPr>
      </w:pPr>
    </w:p>
    <w:p w14:paraId="4F500FA6" w14:textId="77777777" w:rsidR="00003903" w:rsidRPr="00FE2E91" w:rsidRDefault="00003903" w:rsidP="00003903">
      <w:pPr>
        <w:rPr>
          <w:i/>
          <w:sz w:val="24"/>
          <w:szCs w:val="24"/>
        </w:rPr>
      </w:pPr>
      <w:r w:rsidRPr="00FE2E91">
        <w:rPr>
          <w:i/>
          <w:sz w:val="24"/>
          <w:szCs w:val="24"/>
        </w:rPr>
        <w:t>Targeted work to effectively and appropriately manage demand</w:t>
      </w:r>
    </w:p>
    <w:p w14:paraId="4D75310A" w14:textId="77777777" w:rsidR="00003903" w:rsidRDefault="00003903" w:rsidP="00003903">
      <w:pPr>
        <w:rPr>
          <w:rFonts w:cstheme="minorHAnsi"/>
          <w:b/>
          <w:sz w:val="24"/>
          <w:szCs w:val="24"/>
        </w:rPr>
      </w:pPr>
      <w:r>
        <w:rPr>
          <w:rFonts w:cs="Arial"/>
          <w:sz w:val="24"/>
          <w:szCs w:val="24"/>
        </w:rPr>
        <w:t>W</w:t>
      </w:r>
      <w:r w:rsidRPr="00F7510D">
        <w:rPr>
          <w:rFonts w:cs="Arial"/>
          <w:sz w:val="24"/>
          <w:szCs w:val="24"/>
        </w:rPr>
        <w:t xml:space="preserve">e have a significantly more children in care and within high cost external placements than our comparators.  </w:t>
      </w:r>
      <w:r>
        <w:rPr>
          <w:rFonts w:cs="Arial"/>
          <w:sz w:val="24"/>
          <w:szCs w:val="24"/>
        </w:rPr>
        <w:t>In addition, we have historically utilised connected carers as a means of permanence rather than Special Guardianship.   O</w:t>
      </w:r>
      <w:r w:rsidRPr="00F7510D">
        <w:rPr>
          <w:rFonts w:cs="Arial"/>
          <w:sz w:val="24"/>
          <w:szCs w:val="24"/>
        </w:rPr>
        <w:t xml:space="preserve">ur challenge is to ensure that children and young people in care are so appropriately, and are in the most appropriate placement; while balancing the need to make the best use of our limited resources.  Alongside a myriad of activity to be as efficient as possible, we have invested in specialist staff to ‘free’ capacity from certain teams, and also to directly support in safely ‘exiting’ children from care.  The work undertaken by this temporary peripatetic team has </w:t>
      </w:r>
      <w:r>
        <w:rPr>
          <w:rFonts w:cs="Arial"/>
          <w:sz w:val="24"/>
          <w:szCs w:val="24"/>
        </w:rPr>
        <w:t>led to 35 children exiting care safely, by January 2020.</w:t>
      </w:r>
    </w:p>
    <w:p w14:paraId="7711D23C" w14:textId="77777777" w:rsidR="00003903" w:rsidRDefault="00003903" w:rsidP="00003903">
      <w:pPr>
        <w:rPr>
          <w:rFonts w:cstheme="minorHAnsi"/>
          <w:b/>
          <w:sz w:val="24"/>
          <w:szCs w:val="24"/>
        </w:rPr>
      </w:pPr>
    </w:p>
    <w:p w14:paraId="01BB4FDF" w14:textId="0DDE55E8" w:rsidR="00003903" w:rsidRPr="007417A7" w:rsidRDefault="00003903" w:rsidP="00003903">
      <w:pPr>
        <w:rPr>
          <w:rFonts w:cstheme="minorHAnsi"/>
          <w:b/>
          <w:sz w:val="24"/>
          <w:szCs w:val="24"/>
        </w:rPr>
      </w:pPr>
      <w:r>
        <w:rPr>
          <w:rFonts w:cstheme="minorHAnsi"/>
          <w:b/>
          <w:sz w:val="24"/>
          <w:szCs w:val="24"/>
        </w:rPr>
        <w:t>Table 3.</w:t>
      </w:r>
      <w:r w:rsidR="00D05BB1">
        <w:rPr>
          <w:rFonts w:cstheme="minorHAnsi"/>
          <w:b/>
          <w:sz w:val="24"/>
          <w:szCs w:val="24"/>
        </w:rPr>
        <w:t>8:</w:t>
      </w:r>
      <w:r w:rsidRPr="007417A7">
        <w:rPr>
          <w:rFonts w:cstheme="minorHAnsi"/>
          <w:b/>
          <w:sz w:val="24"/>
          <w:szCs w:val="24"/>
        </w:rPr>
        <w:t xml:space="preserve"> Children in Care (</w:t>
      </w:r>
      <w:r>
        <w:rPr>
          <w:rFonts w:cstheme="minorHAnsi"/>
          <w:b/>
          <w:sz w:val="24"/>
          <w:szCs w:val="24"/>
        </w:rPr>
        <w:t>31</w:t>
      </w:r>
      <w:r w:rsidRPr="006867CE">
        <w:rPr>
          <w:rFonts w:cstheme="minorHAnsi"/>
          <w:b/>
          <w:sz w:val="24"/>
          <w:szCs w:val="24"/>
          <w:vertAlign w:val="superscript"/>
        </w:rPr>
        <w:t>st</w:t>
      </w:r>
      <w:r>
        <w:rPr>
          <w:rFonts w:cstheme="minorHAnsi"/>
          <w:b/>
          <w:sz w:val="24"/>
          <w:szCs w:val="24"/>
        </w:rPr>
        <w:t xml:space="preserve"> </w:t>
      </w:r>
      <w:r w:rsidRPr="007417A7">
        <w:rPr>
          <w:rFonts w:cstheme="minorHAnsi"/>
          <w:b/>
          <w:sz w:val="24"/>
          <w:szCs w:val="24"/>
        </w:rPr>
        <w:t>March 2019) by Age</w:t>
      </w:r>
    </w:p>
    <w:tbl>
      <w:tblPr>
        <w:tblW w:w="9088" w:type="dxa"/>
        <w:tblInd w:w="93" w:type="dxa"/>
        <w:tblCellMar>
          <w:left w:w="0" w:type="dxa"/>
          <w:right w:w="0" w:type="dxa"/>
        </w:tblCellMar>
        <w:tblLook w:val="04A0" w:firstRow="1" w:lastRow="0" w:firstColumn="1" w:lastColumn="0" w:noHBand="0" w:noVBand="1"/>
      </w:tblPr>
      <w:tblGrid>
        <w:gridCol w:w="1716"/>
        <w:gridCol w:w="1271"/>
        <w:gridCol w:w="1212"/>
        <w:gridCol w:w="1170"/>
        <w:gridCol w:w="1212"/>
        <w:gridCol w:w="1295"/>
        <w:gridCol w:w="1212"/>
      </w:tblGrid>
      <w:tr w:rsidR="00003903" w:rsidRPr="00580BD2" w14:paraId="5336296D" w14:textId="77777777" w:rsidTr="00003903">
        <w:trPr>
          <w:trHeight w:val="318"/>
        </w:trPr>
        <w:tc>
          <w:tcPr>
            <w:tcW w:w="1716" w:type="dxa"/>
            <w:noWrap/>
            <w:tcMar>
              <w:top w:w="0" w:type="dxa"/>
              <w:left w:w="108" w:type="dxa"/>
              <w:bottom w:w="0" w:type="dxa"/>
              <w:right w:w="108" w:type="dxa"/>
            </w:tcMar>
            <w:vAlign w:val="bottom"/>
            <w:hideMark/>
          </w:tcPr>
          <w:p w14:paraId="09F3CC19" w14:textId="77777777" w:rsidR="00003903" w:rsidRPr="00580BD2" w:rsidRDefault="00003903" w:rsidP="00003903">
            <w:pPr>
              <w:rPr>
                <w:sz w:val="24"/>
                <w:szCs w:val="24"/>
              </w:rPr>
            </w:pPr>
          </w:p>
        </w:tc>
        <w:tc>
          <w:tcPr>
            <w:tcW w:w="2483" w:type="dxa"/>
            <w:gridSpan w:val="2"/>
            <w:tcBorders>
              <w:top w:val="single" w:sz="8" w:space="0" w:color="00B050"/>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68E98365" w14:textId="77777777" w:rsidR="00003903" w:rsidRPr="00580BD2" w:rsidRDefault="00003903" w:rsidP="00003903">
            <w:pPr>
              <w:jc w:val="center"/>
              <w:rPr>
                <w:rFonts w:cs="Arial"/>
                <w:sz w:val="24"/>
                <w:szCs w:val="24"/>
              </w:rPr>
            </w:pPr>
            <w:r w:rsidRPr="00580BD2">
              <w:rPr>
                <w:rFonts w:cs="Arial"/>
                <w:sz w:val="24"/>
                <w:szCs w:val="24"/>
              </w:rPr>
              <w:t>Aged Under 1</w:t>
            </w:r>
          </w:p>
        </w:tc>
        <w:tc>
          <w:tcPr>
            <w:tcW w:w="2382" w:type="dxa"/>
            <w:gridSpan w:val="2"/>
            <w:tcBorders>
              <w:top w:val="single" w:sz="8" w:space="0" w:color="00B050"/>
              <w:left w:val="nil"/>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61629FE2" w14:textId="77777777" w:rsidR="00003903" w:rsidRPr="00580BD2" w:rsidRDefault="00003903" w:rsidP="00003903">
            <w:pPr>
              <w:jc w:val="center"/>
              <w:rPr>
                <w:rFonts w:cs="Arial"/>
                <w:sz w:val="24"/>
                <w:szCs w:val="24"/>
              </w:rPr>
            </w:pPr>
            <w:r w:rsidRPr="00580BD2">
              <w:rPr>
                <w:rFonts w:cs="Arial"/>
                <w:sz w:val="24"/>
                <w:szCs w:val="24"/>
              </w:rPr>
              <w:t>Aged 1 to 4</w:t>
            </w:r>
          </w:p>
        </w:tc>
        <w:tc>
          <w:tcPr>
            <w:tcW w:w="2507" w:type="dxa"/>
            <w:gridSpan w:val="2"/>
            <w:tcBorders>
              <w:top w:val="single" w:sz="8" w:space="0" w:color="00B050"/>
              <w:left w:val="nil"/>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1F9C88BB" w14:textId="77777777" w:rsidR="00003903" w:rsidRPr="00580BD2" w:rsidRDefault="00003903" w:rsidP="00003903">
            <w:pPr>
              <w:jc w:val="center"/>
              <w:rPr>
                <w:rFonts w:cs="Arial"/>
                <w:sz w:val="24"/>
                <w:szCs w:val="24"/>
              </w:rPr>
            </w:pPr>
            <w:r w:rsidRPr="00580BD2">
              <w:rPr>
                <w:rFonts w:cs="Arial"/>
                <w:sz w:val="24"/>
                <w:szCs w:val="24"/>
              </w:rPr>
              <w:t>Aged 5 to 17</w:t>
            </w:r>
          </w:p>
        </w:tc>
      </w:tr>
      <w:tr w:rsidR="00003903" w:rsidRPr="00580BD2" w14:paraId="729B6BD3" w14:textId="77777777" w:rsidTr="00003903">
        <w:trPr>
          <w:trHeight w:val="646"/>
        </w:trPr>
        <w:tc>
          <w:tcPr>
            <w:tcW w:w="1716" w:type="dxa"/>
            <w:noWrap/>
            <w:tcMar>
              <w:top w:w="0" w:type="dxa"/>
              <w:left w:w="108" w:type="dxa"/>
              <w:bottom w:w="0" w:type="dxa"/>
              <w:right w:w="108" w:type="dxa"/>
            </w:tcMar>
            <w:vAlign w:val="bottom"/>
            <w:hideMark/>
          </w:tcPr>
          <w:p w14:paraId="5FE01CFA" w14:textId="77777777" w:rsidR="00003903" w:rsidRPr="00580BD2" w:rsidRDefault="00003903" w:rsidP="00003903">
            <w:pPr>
              <w:rPr>
                <w:rFonts w:cs="Arial"/>
                <w:sz w:val="24"/>
                <w:szCs w:val="24"/>
              </w:rPr>
            </w:pPr>
          </w:p>
        </w:tc>
        <w:tc>
          <w:tcPr>
            <w:tcW w:w="1271"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33C48F9E" w14:textId="77777777" w:rsidR="00003903" w:rsidRPr="00580BD2" w:rsidRDefault="00003903" w:rsidP="00003903">
            <w:pPr>
              <w:jc w:val="center"/>
              <w:rPr>
                <w:rFonts w:cs="Arial"/>
                <w:sz w:val="24"/>
                <w:szCs w:val="24"/>
              </w:rPr>
            </w:pPr>
            <w:r w:rsidRPr="00580BD2">
              <w:rPr>
                <w:rFonts w:cs="Arial"/>
                <w:sz w:val="24"/>
                <w:szCs w:val="24"/>
              </w:rPr>
              <w:t>Persons</w:t>
            </w:r>
          </w:p>
        </w:tc>
        <w:tc>
          <w:tcPr>
            <w:tcW w:w="1212"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16C6705A" w14:textId="77777777" w:rsidR="00003903" w:rsidRPr="00580BD2" w:rsidRDefault="00003903" w:rsidP="00003903">
            <w:pPr>
              <w:jc w:val="center"/>
              <w:rPr>
                <w:rFonts w:cs="Arial"/>
                <w:sz w:val="24"/>
                <w:szCs w:val="24"/>
              </w:rPr>
            </w:pPr>
            <w:r w:rsidRPr="00580BD2">
              <w:rPr>
                <w:rFonts w:cs="Arial"/>
                <w:sz w:val="24"/>
                <w:szCs w:val="24"/>
              </w:rPr>
              <w:t>Rate</w:t>
            </w:r>
            <w:r>
              <w:rPr>
                <w:rFonts w:cs="Arial"/>
                <w:sz w:val="24"/>
                <w:szCs w:val="24"/>
              </w:rPr>
              <w:t xml:space="preserve"> per</w:t>
            </w:r>
            <w:r w:rsidRPr="00580BD2">
              <w:rPr>
                <w:rFonts w:cs="Arial"/>
                <w:sz w:val="24"/>
                <w:szCs w:val="24"/>
              </w:rPr>
              <w:t xml:space="preserve"> 10,000</w:t>
            </w:r>
          </w:p>
        </w:tc>
        <w:tc>
          <w:tcPr>
            <w:tcW w:w="117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55D0D8E7" w14:textId="77777777" w:rsidR="00003903" w:rsidRPr="00580BD2" w:rsidRDefault="00003903" w:rsidP="00003903">
            <w:pPr>
              <w:jc w:val="center"/>
              <w:rPr>
                <w:rFonts w:cs="Arial"/>
                <w:sz w:val="24"/>
                <w:szCs w:val="24"/>
              </w:rPr>
            </w:pPr>
            <w:r w:rsidRPr="00580BD2">
              <w:rPr>
                <w:rFonts w:cs="Arial"/>
                <w:sz w:val="24"/>
                <w:szCs w:val="24"/>
              </w:rPr>
              <w:t>Persons</w:t>
            </w:r>
          </w:p>
        </w:tc>
        <w:tc>
          <w:tcPr>
            <w:tcW w:w="1212"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481DF633" w14:textId="77777777" w:rsidR="00003903" w:rsidRPr="00580BD2" w:rsidRDefault="00003903" w:rsidP="00003903">
            <w:pPr>
              <w:jc w:val="center"/>
              <w:rPr>
                <w:rFonts w:cs="Arial"/>
                <w:sz w:val="24"/>
                <w:szCs w:val="24"/>
              </w:rPr>
            </w:pPr>
            <w:r w:rsidRPr="00580BD2">
              <w:rPr>
                <w:rFonts w:cs="Arial"/>
                <w:sz w:val="24"/>
                <w:szCs w:val="24"/>
              </w:rPr>
              <w:t>Rate</w:t>
            </w:r>
            <w:r>
              <w:rPr>
                <w:rFonts w:cs="Arial"/>
                <w:sz w:val="24"/>
                <w:szCs w:val="24"/>
              </w:rPr>
              <w:t xml:space="preserve"> per</w:t>
            </w:r>
            <w:r w:rsidRPr="00580BD2">
              <w:rPr>
                <w:rFonts w:cs="Arial"/>
                <w:sz w:val="24"/>
                <w:szCs w:val="24"/>
              </w:rPr>
              <w:t xml:space="preserve"> 10,000</w:t>
            </w:r>
          </w:p>
        </w:tc>
        <w:tc>
          <w:tcPr>
            <w:tcW w:w="1295"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407AEC07" w14:textId="77777777" w:rsidR="00003903" w:rsidRPr="00580BD2" w:rsidRDefault="00003903" w:rsidP="00003903">
            <w:pPr>
              <w:jc w:val="center"/>
              <w:rPr>
                <w:rFonts w:cs="Arial"/>
                <w:sz w:val="24"/>
                <w:szCs w:val="24"/>
              </w:rPr>
            </w:pPr>
            <w:r w:rsidRPr="00580BD2">
              <w:rPr>
                <w:rFonts w:cs="Arial"/>
                <w:sz w:val="24"/>
                <w:szCs w:val="24"/>
              </w:rPr>
              <w:t>Persons</w:t>
            </w:r>
          </w:p>
        </w:tc>
        <w:tc>
          <w:tcPr>
            <w:tcW w:w="1212"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center"/>
            <w:hideMark/>
          </w:tcPr>
          <w:p w14:paraId="46BD98CB" w14:textId="77777777" w:rsidR="00003903" w:rsidRPr="00580BD2" w:rsidRDefault="00003903" w:rsidP="00003903">
            <w:pPr>
              <w:jc w:val="center"/>
              <w:rPr>
                <w:rFonts w:cs="Arial"/>
                <w:sz w:val="24"/>
                <w:szCs w:val="24"/>
              </w:rPr>
            </w:pPr>
            <w:r w:rsidRPr="00580BD2">
              <w:rPr>
                <w:rFonts w:cs="Arial"/>
                <w:sz w:val="24"/>
                <w:szCs w:val="24"/>
              </w:rPr>
              <w:t>Rate</w:t>
            </w:r>
            <w:r>
              <w:rPr>
                <w:rFonts w:cs="Arial"/>
                <w:sz w:val="24"/>
                <w:szCs w:val="24"/>
              </w:rPr>
              <w:t xml:space="preserve"> per</w:t>
            </w:r>
            <w:r w:rsidRPr="00580BD2">
              <w:rPr>
                <w:rFonts w:cs="Arial"/>
                <w:sz w:val="24"/>
                <w:szCs w:val="24"/>
              </w:rPr>
              <w:t xml:space="preserve"> 10,000</w:t>
            </w:r>
          </w:p>
        </w:tc>
      </w:tr>
      <w:tr w:rsidR="00003903" w:rsidRPr="00580BD2" w14:paraId="740551D4" w14:textId="77777777" w:rsidTr="00003903">
        <w:trPr>
          <w:trHeight w:val="318"/>
        </w:trPr>
        <w:tc>
          <w:tcPr>
            <w:tcW w:w="1716" w:type="dxa"/>
            <w:tcBorders>
              <w:top w:val="single" w:sz="8" w:space="0" w:color="00B050"/>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4F8473D0" w14:textId="77777777" w:rsidR="00003903" w:rsidRPr="00580BD2" w:rsidRDefault="00003903" w:rsidP="00003903">
            <w:pPr>
              <w:rPr>
                <w:rFonts w:cs="Arial"/>
                <w:sz w:val="24"/>
                <w:szCs w:val="24"/>
              </w:rPr>
            </w:pPr>
            <w:r w:rsidRPr="00580BD2">
              <w:rPr>
                <w:rFonts w:cs="Arial"/>
                <w:sz w:val="24"/>
                <w:szCs w:val="24"/>
              </w:rPr>
              <w:t>Sandwell</w:t>
            </w:r>
          </w:p>
        </w:tc>
        <w:tc>
          <w:tcPr>
            <w:tcW w:w="1271"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275BDDA3" w14:textId="77777777" w:rsidR="00003903" w:rsidRPr="00E277D8" w:rsidRDefault="00003903" w:rsidP="00003903">
            <w:pPr>
              <w:jc w:val="right"/>
              <w:rPr>
                <w:rFonts w:cs="Arial"/>
                <w:sz w:val="24"/>
                <w:szCs w:val="24"/>
              </w:rPr>
            </w:pPr>
            <w:r w:rsidRPr="00E277D8">
              <w:rPr>
                <w:rFonts w:ascii="Calibri" w:hAnsi="Calibri" w:cs="Calibri"/>
                <w:color w:val="000000"/>
                <w:sz w:val="24"/>
                <w:szCs w:val="24"/>
              </w:rPr>
              <w:t>52</w:t>
            </w:r>
          </w:p>
        </w:tc>
        <w:tc>
          <w:tcPr>
            <w:tcW w:w="1212"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0A527F59" w14:textId="77777777" w:rsidR="00003903" w:rsidRPr="00E277D8" w:rsidRDefault="00003903" w:rsidP="00003903">
            <w:pPr>
              <w:jc w:val="right"/>
              <w:rPr>
                <w:rFonts w:cs="Arial"/>
                <w:sz w:val="24"/>
                <w:szCs w:val="24"/>
              </w:rPr>
            </w:pPr>
            <w:r w:rsidRPr="00E277D8">
              <w:rPr>
                <w:rFonts w:ascii="Calibri" w:hAnsi="Calibri" w:cs="Calibri"/>
                <w:color w:val="000000"/>
                <w:sz w:val="24"/>
                <w:szCs w:val="24"/>
              </w:rPr>
              <w:t>113.6</w:t>
            </w:r>
          </w:p>
        </w:tc>
        <w:tc>
          <w:tcPr>
            <w:tcW w:w="1170"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19EC379A" w14:textId="77777777" w:rsidR="00003903" w:rsidRPr="00E277D8" w:rsidRDefault="00003903" w:rsidP="00003903">
            <w:pPr>
              <w:jc w:val="right"/>
              <w:rPr>
                <w:rFonts w:cs="Arial"/>
                <w:sz w:val="24"/>
                <w:szCs w:val="24"/>
              </w:rPr>
            </w:pPr>
            <w:r w:rsidRPr="00E277D8">
              <w:rPr>
                <w:rFonts w:ascii="Calibri" w:hAnsi="Calibri" w:cs="Calibri"/>
                <w:color w:val="000000"/>
                <w:sz w:val="24"/>
                <w:szCs w:val="24"/>
              </w:rPr>
              <w:t>198</w:t>
            </w:r>
          </w:p>
        </w:tc>
        <w:tc>
          <w:tcPr>
            <w:tcW w:w="1212"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161DC040" w14:textId="77777777" w:rsidR="00003903" w:rsidRPr="00E277D8" w:rsidRDefault="00003903" w:rsidP="00003903">
            <w:pPr>
              <w:jc w:val="right"/>
              <w:rPr>
                <w:rFonts w:cs="Arial"/>
                <w:sz w:val="24"/>
                <w:szCs w:val="24"/>
              </w:rPr>
            </w:pPr>
            <w:r w:rsidRPr="00E277D8">
              <w:rPr>
                <w:rFonts w:ascii="Calibri" w:hAnsi="Calibri" w:cs="Calibri"/>
                <w:color w:val="000000"/>
                <w:sz w:val="24"/>
                <w:szCs w:val="24"/>
              </w:rPr>
              <w:t>103.2</w:t>
            </w:r>
          </w:p>
        </w:tc>
        <w:tc>
          <w:tcPr>
            <w:tcW w:w="1295"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0E651EA9" w14:textId="77777777" w:rsidR="00003903" w:rsidRPr="00E277D8" w:rsidRDefault="00003903" w:rsidP="00003903">
            <w:pPr>
              <w:jc w:val="right"/>
              <w:rPr>
                <w:rFonts w:cs="Arial"/>
                <w:sz w:val="24"/>
                <w:szCs w:val="24"/>
              </w:rPr>
            </w:pPr>
            <w:r w:rsidRPr="00E277D8">
              <w:rPr>
                <w:rFonts w:ascii="Calibri" w:hAnsi="Calibri" w:cs="Calibri"/>
                <w:color w:val="000000"/>
                <w:sz w:val="24"/>
                <w:szCs w:val="24"/>
              </w:rPr>
              <w:t>654</w:t>
            </w:r>
          </w:p>
        </w:tc>
        <w:tc>
          <w:tcPr>
            <w:tcW w:w="1212"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5855F0D7" w14:textId="77777777" w:rsidR="00003903" w:rsidRPr="00E277D8" w:rsidRDefault="00003903" w:rsidP="00003903">
            <w:pPr>
              <w:jc w:val="right"/>
              <w:rPr>
                <w:rFonts w:cs="Arial"/>
                <w:sz w:val="24"/>
                <w:szCs w:val="24"/>
              </w:rPr>
            </w:pPr>
            <w:r w:rsidRPr="00E277D8">
              <w:rPr>
                <w:rFonts w:ascii="Calibri" w:hAnsi="Calibri" w:cs="Calibri"/>
                <w:color w:val="000000"/>
                <w:sz w:val="24"/>
                <w:szCs w:val="24"/>
              </w:rPr>
              <w:t>112.5</w:t>
            </w:r>
          </w:p>
        </w:tc>
      </w:tr>
      <w:tr w:rsidR="00003903" w:rsidRPr="00580BD2" w14:paraId="33373B12" w14:textId="77777777" w:rsidTr="00003903">
        <w:trPr>
          <w:trHeight w:val="318"/>
        </w:trPr>
        <w:tc>
          <w:tcPr>
            <w:tcW w:w="1716"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0B21172C" w14:textId="77777777" w:rsidR="00003903" w:rsidRPr="00580BD2" w:rsidRDefault="00003903" w:rsidP="00003903">
            <w:pPr>
              <w:rPr>
                <w:rFonts w:cs="Arial"/>
                <w:sz w:val="24"/>
                <w:szCs w:val="24"/>
              </w:rPr>
            </w:pPr>
            <w:r w:rsidRPr="00580BD2">
              <w:rPr>
                <w:rFonts w:cs="Arial"/>
                <w:sz w:val="24"/>
                <w:szCs w:val="24"/>
              </w:rPr>
              <w:t>England</w:t>
            </w:r>
          </w:p>
        </w:tc>
        <w:tc>
          <w:tcPr>
            <w:tcW w:w="1271"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0F82AEDB" w14:textId="77777777" w:rsidR="00003903" w:rsidRPr="00E277D8" w:rsidRDefault="00003903" w:rsidP="00003903">
            <w:pPr>
              <w:jc w:val="right"/>
              <w:rPr>
                <w:rFonts w:cs="Arial"/>
                <w:color w:val="FF0000"/>
                <w:sz w:val="24"/>
                <w:szCs w:val="24"/>
              </w:rPr>
            </w:pPr>
            <w:r w:rsidRPr="00E277D8">
              <w:rPr>
                <w:rFonts w:ascii="Calibri" w:hAnsi="Calibri" w:cs="Calibri"/>
                <w:sz w:val="24"/>
                <w:szCs w:val="24"/>
              </w:rPr>
              <w:t>4,090</w:t>
            </w:r>
          </w:p>
        </w:tc>
        <w:tc>
          <w:tcPr>
            <w:tcW w:w="1212"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237AC00E" w14:textId="77777777" w:rsidR="00003903" w:rsidRPr="00E277D8" w:rsidRDefault="00003903" w:rsidP="00003903">
            <w:pPr>
              <w:jc w:val="right"/>
              <w:rPr>
                <w:rFonts w:cs="Arial"/>
                <w:color w:val="FF0000"/>
                <w:sz w:val="24"/>
                <w:szCs w:val="24"/>
              </w:rPr>
            </w:pPr>
            <w:r w:rsidRPr="00E277D8">
              <w:rPr>
                <w:rFonts w:ascii="Calibri" w:hAnsi="Calibri" w:cs="Calibri"/>
                <w:sz w:val="24"/>
                <w:szCs w:val="24"/>
              </w:rPr>
              <w:t>61.1</w:t>
            </w:r>
          </w:p>
        </w:tc>
        <w:tc>
          <w:tcPr>
            <w:tcW w:w="1170"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3726B147" w14:textId="77777777" w:rsidR="00003903" w:rsidRPr="00E277D8" w:rsidRDefault="00003903" w:rsidP="00003903">
            <w:pPr>
              <w:jc w:val="right"/>
              <w:rPr>
                <w:rFonts w:cs="Arial"/>
                <w:color w:val="FF0000"/>
                <w:sz w:val="24"/>
                <w:szCs w:val="24"/>
              </w:rPr>
            </w:pPr>
            <w:r w:rsidRPr="00E277D8">
              <w:rPr>
                <w:rFonts w:ascii="Calibri" w:hAnsi="Calibri" w:cs="Calibri"/>
                <w:sz w:val="24"/>
                <w:szCs w:val="24"/>
              </w:rPr>
              <w:t>10,490</w:t>
            </w:r>
          </w:p>
        </w:tc>
        <w:tc>
          <w:tcPr>
            <w:tcW w:w="1212"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626BC29D" w14:textId="77777777" w:rsidR="00003903" w:rsidRPr="00E277D8" w:rsidRDefault="00003903" w:rsidP="00003903">
            <w:pPr>
              <w:jc w:val="right"/>
              <w:rPr>
                <w:rFonts w:cs="Arial"/>
                <w:color w:val="FF0000"/>
                <w:sz w:val="24"/>
                <w:szCs w:val="24"/>
              </w:rPr>
            </w:pPr>
            <w:r w:rsidRPr="00E277D8">
              <w:rPr>
                <w:rFonts w:ascii="Calibri" w:hAnsi="Calibri" w:cs="Calibri"/>
                <w:sz w:val="24"/>
                <w:szCs w:val="24"/>
              </w:rPr>
              <w:t>36.9</w:t>
            </w:r>
          </w:p>
        </w:tc>
        <w:tc>
          <w:tcPr>
            <w:tcW w:w="1295"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5B15E85C" w14:textId="77777777" w:rsidR="00003903" w:rsidRPr="00E277D8" w:rsidRDefault="00003903" w:rsidP="00003903">
            <w:pPr>
              <w:jc w:val="right"/>
              <w:rPr>
                <w:rFonts w:cs="Arial"/>
                <w:sz w:val="24"/>
                <w:szCs w:val="24"/>
              </w:rPr>
            </w:pPr>
            <w:r w:rsidRPr="00E277D8">
              <w:rPr>
                <w:rFonts w:ascii="Calibri" w:hAnsi="Calibri" w:cs="Calibri"/>
                <w:sz w:val="24"/>
                <w:szCs w:val="24"/>
              </w:rPr>
              <w:t>63,520</w:t>
            </w:r>
          </w:p>
        </w:tc>
        <w:tc>
          <w:tcPr>
            <w:tcW w:w="1212" w:type="dxa"/>
            <w:tcBorders>
              <w:top w:val="nil"/>
              <w:left w:val="nil"/>
              <w:bottom w:val="single" w:sz="8" w:space="0" w:color="00B050"/>
              <w:right w:val="single" w:sz="8" w:space="0" w:color="00B050"/>
            </w:tcBorders>
            <w:noWrap/>
            <w:tcMar>
              <w:top w:w="0" w:type="dxa"/>
              <w:left w:w="108" w:type="dxa"/>
              <w:bottom w:w="0" w:type="dxa"/>
              <w:right w:w="108" w:type="dxa"/>
            </w:tcMar>
            <w:vAlign w:val="center"/>
            <w:hideMark/>
          </w:tcPr>
          <w:p w14:paraId="727FFDC4" w14:textId="77777777" w:rsidR="00003903" w:rsidRPr="00E277D8" w:rsidRDefault="00003903" w:rsidP="00003903">
            <w:pPr>
              <w:jc w:val="right"/>
              <w:rPr>
                <w:rFonts w:cs="Arial"/>
                <w:color w:val="FF0000"/>
                <w:sz w:val="24"/>
                <w:szCs w:val="24"/>
              </w:rPr>
            </w:pPr>
            <w:r w:rsidRPr="00E277D8">
              <w:rPr>
                <w:rFonts w:ascii="Calibri" w:hAnsi="Calibri" w:cs="Calibri"/>
                <w:sz w:val="24"/>
                <w:szCs w:val="24"/>
              </w:rPr>
              <w:t>70.0</w:t>
            </w:r>
          </w:p>
        </w:tc>
      </w:tr>
    </w:tbl>
    <w:p w14:paraId="3D566DDD" w14:textId="77777777" w:rsidR="00003903" w:rsidRDefault="00003903" w:rsidP="00003903">
      <w:pPr>
        <w:spacing w:line="276" w:lineRule="auto"/>
        <w:rPr>
          <w:sz w:val="24"/>
          <w:szCs w:val="24"/>
        </w:rPr>
      </w:pPr>
      <w:r>
        <w:rPr>
          <w:rFonts w:cs="Arial"/>
          <w:sz w:val="24"/>
          <w:szCs w:val="24"/>
        </w:rPr>
        <w:t xml:space="preserve">Source: </w:t>
      </w:r>
      <w:r w:rsidRPr="0064057C">
        <w:rPr>
          <w:sz w:val="24"/>
          <w:szCs w:val="24"/>
        </w:rPr>
        <w:t>Sandwell Children’s Trust</w:t>
      </w:r>
    </w:p>
    <w:p w14:paraId="37C18B6E" w14:textId="77777777" w:rsidR="00003903" w:rsidRDefault="00003903" w:rsidP="00003903">
      <w:pPr>
        <w:spacing w:line="276" w:lineRule="auto"/>
        <w:rPr>
          <w:rFonts w:cs="Arial"/>
          <w:sz w:val="24"/>
          <w:szCs w:val="24"/>
        </w:rPr>
      </w:pPr>
    </w:p>
    <w:p w14:paraId="170ED421" w14:textId="77777777" w:rsidR="00003903" w:rsidRDefault="00003903" w:rsidP="00003903">
      <w:pPr>
        <w:spacing w:line="276" w:lineRule="auto"/>
        <w:rPr>
          <w:rFonts w:cs="Arial"/>
          <w:sz w:val="24"/>
          <w:szCs w:val="24"/>
        </w:rPr>
      </w:pPr>
      <w:r>
        <w:rPr>
          <w:rFonts w:cs="Arial"/>
          <w:sz w:val="24"/>
          <w:szCs w:val="24"/>
        </w:rPr>
        <w:t xml:space="preserve">More detailed data for Sandwell shows that in March 2019, there are 278 children aged 5 &amp; under in care. The highest rate of cases is among 1 year olds and babies under 1 – these are perhaps the times when families are under the greatest strain and in need of additional support, or there may be </w:t>
      </w:r>
      <w:r w:rsidRPr="00580BD2">
        <w:rPr>
          <w:rFonts w:cs="Arial"/>
          <w:sz w:val="24"/>
          <w:szCs w:val="24"/>
        </w:rPr>
        <w:t>early recognition and management of safeguarding needs.</w:t>
      </w:r>
      <w:r>
        <w:rPr>
          <w:rFonts w:cs="Arial"/>
          <w:sz w:val="24"/>
          <w:szCs w:val="24"/>
        </w:rPr>
        <w:t xml:space="preserve"> In March 2019, the rate of 127.6 per 10,000 1 year olds compares with an average for all 0-5s of 96.0 per 10,000.</w:t>
      </w:r>
    </w:p>
    <w:p w14:paraId="2EECAF4F" w14:textId="128B6D10" w:rsidR="006F2543" w:rsidRDefault="006F2543">
      <w:pPr>
        <w:spacing w:after="160" w:line="259" w:lineRule="auto"/>
        <w:rPr>
          <w:rFonts w:cs="Arial"/>
          <w:b/>
          <w:sz w:val="24"/>
          <w:szCs w:val="24"/>
        </w:rPr>
      </w:pPr>
      <w:r>
        <w:rPr>
          <w:rFonts w:cs="Arial"/>
          <w:b/>
          <w:sz w:val="24"/>
          <w:szCs w:val="24"/>
        </w:rPr>
        <w:br w:type="page"/>
      </w:r>
    </w:p>
    <w:p w14:paraId="490E41D1" w14:textId="5B66D719" w:rsidR="00003903" w:rsidRPr="00D60F02" w:rsidRDefault="00003903" w:rsidP="00003903">
      <w:pPr>
        <w:rPr>
          <w:rFonts w:cs="Arial"/>
          <w:b/>
          <w:sz w:val="24"/>
          <w:szCs w:val="24"/>
        </w:rPr>
      </w:pPr>
      <w:r w:rsidRPr="00D60F02">
        <w:rPr>
          <w:rFonts w:cs="Arial"/>
          <w:b/>
          <w:sz w:val="24"/>
          <w:szCs w:val="24"/>
        </w:rPr>
        <w:t>Table 3</w:t>
      </w:r>
      <w:r>
        <w:rPr>
          <w:rFonts w:cs="Arial"/>
          <w:b/>
          <w:sz w:val="24"/>
          <w:szCs w:val="24"/>
        </w:rPr>
        <w:t>.</w:t>
      </w:r>
      <w:r w:rsidR="00D05BB1">
        <w:rPr>
          <w:rFonts w:cs="Arial"/>
          <w:b/>
          <w:sz w:val="24"/>
          <w:szCs w:val="24"/>
        </w:rPr>
        <w:t>9</w:t>
      </w:r>
      <w:r w:rsidRPr="00D60F02">
        <w:rPr>
          <w:rFonts w:cs="Arial"/>
          <w:b/>
          <w:sz w:val="24"/>
          <w:szCs w:val="24"/>
        </w:rPr>
        <w:t>: C</w:t>
      </w:r>
      <w:r w:rsidRPr="00D60F02">
        <w:rPr>
          <w:rFonts w:cstheme="majorHAnsi"/>
          <w:b/>
          <w:sz w:val="24"/>
          <w:szCs w:val="24"/>
        </w:rPr>
        <w:t xml:space="preserve">hildren in </w:t>
      </w:r>
      <w:r>
        <w:rPr>
          <w:rFonts w:cstheme="majorHAnsi"/>
          <w:b/>
          <w:sz w:val="24"/>
          <w:szCs w:val="24"/>
        </w:rPr>
        <w:t>C</w:t>
      </w:r>
      <w:r w:rsidRPr="00D60F02">
        <w:rPr>
          <w:rFonts w:cstheme="majorHAnsi"/>
          <w:b/>
          <w:sz w:val="24"/>
          <w:szCs w:val="24"/>
        </w:rPr>
        <w:t>are</w:t>
      </w:r>
      <w:r w:rsidRPr="00D60F02">
        <w:rPr>
          <w:rFonts w:cs="Arial"/>
          <w:b/>
          <w:sz w:val="24"/>
          <w:szCs w:val="24"/>
        </w:rPr>
        <w:t xml:space="preserve"> by Age </w:t>
      </w:r>
      <w:r>
        <w:rPr>
          <w:rFonts w:cs="Arial"/>
          <w:b/>
          <w:sz w:val="24"/>
          <w:szCs w:val="24"/>
        </w:rPr>
        <w:t>– March</w:t>
      </w:r>
      <w:r w:rsidRPr="00D60F02">
        <w:rPr>
          <w:rFonts w:cs="Arial"/>
          <w:b/>
          <w:sz w:val="24"/>
          <w:szCs w:val="24"/>
        </w:rPr>
        <w:t xml:space="preserve"> 2019</w:t>
      </w:r>
    </w:p>
    <w:tbl>
      <w:tblPr>
        <w:tblpPr w:leftFromText="180" w:rightFromText="180" w:vertAnchor="text" w:tblpXSpec="center" w:tblpY="1"/>
        <w:tblOverlap w:val="never"/>
        <w:tblW w:w="8789" w:type="dxa"/>
        <w:tblLook w:val="04A0" w:firstRow="1" w:lastRow="0" w:firstColumn="1" w:lastColumn="0" w:noHBand="0" w:noVBand="1"/>
      </w:tblPr>
      <w:tblGrid>
        <w:gridCol w:w="3974"/>
        <w:gridCol w:w="2127"/>
        <w:gridCol w:w="2688"/>
      </w:tblGrid>
      <w:tr w:rsidR="00003903" w:rsidRPr="00580BD2" w14:paraId="0FF29EE1" w14:textId="77777777" w:rsidTr="00003903">
        <w:trPr>
          <w:trHeight w:hRule="exact" w:val="340"/>
        </w:trPr>
        <w:tc>
          <w:tcPr>
            <w:tcW w:w="3974" w:type="dxa"/>
            <w:tcBorders>
              <w:top w:val="single" w:sz="4" w:space="0" w:color="00B050"/>
              <w:left w:val="single" w:sz="4" w:space="0" w:color="00B050"/>
              <w:bottom w:val="single" w:sz="4" w:space="0" w:color="00B050"/>
              <w:right w:val="single" w:sz="4" w:space="0" w:color="00B050"/>
            </w:tcBorders>
            <w:shd w:val="clear" w:color="000000" w:fill="D9D9D9"/>
            <w:noWrap/>
            <w:vAlign w:val="bottom"/>
          </w:tcPr>
          <w:p w14:paraId="42FFB9C7" w14:textId="77777777" w:rsidR="00003903" w:rsidRPr="00580BD2" w:rsidRDefault="00003903" w:rsidP="00003903">
            <w:pPr>
              <w:spacing w:after="200" w:line="276" w:lineRule="auto"/>
              <w:rPr>
                <w:rFonts w:cs="Arial"/>
                <w:sz w:val="24"/>
                <w:szCs w:val="24"/>
              </w:rPr>
            </w:pPr>
          </w:p>
        </w:tc>
        <w:tc>
          <w:tcPr>
            <w:tcW w:w="2127" w:type="dxa"/>
            <w:tcBorders>
              <w:top w:val="single" w:sz="4" w:space="0" w:color="00B050"/>
              <w:left w:val="nil"/>
              <w:bottom w:val="single" w:sz="4" w:space="0" w:color="00B050"/>
              <w:right w:val="single" w:sz="4" w:space="0" w:color="00B050"/>
            </w:tcBorders>
            <w:shd w:val="clear" w:color="000000" w:fill="D9D9D9"/>
            <w:noWrap/>
            <w:vAlign w:val="bottom"/>
          </w:tcPr>
          <w:p w14:paraId="6786F2BD" w14:textId="77777777" w:rsidR="00003903" w:rsidRPr="00580BD2" w:rsidRDefault="00003903" w:rsidP="00003903">
            <w:pPr>
              <w:spacing w:after="200" w:line="276" w:lineRule="auto"/>
              <w:jc w:val="center"/>
              <w:rPr>
                <w:rFonts w:cs="Arial"/>
                <w:sz w:val="24"/>
                <w:szCs w:val="24"/>
              </w:rPr>
            </w:pPr>
            <w:r w:rsidRPr="00580BD2">
              <w:rPr>
                <w:rFonts w:cs="Arial"/>
                <w:sz w:val="24"/>
                <w:szCs w:val="24"/>
              </w:rPr>
              <w:t>Number of Cases</w:t>
            </w:r>
          </w:p>
        </w:tc>
        <w:tc>
          <w:tcPr>
            <w:tcW w:w="2688" w:type="dxa"/>
            <w:tcBorders>
              <w:top w:val="single" w:sz="4" w:space="0" w:color="00B050"/>
              <w:left w:val="nil"/>
              <w:bottom w:val="single" w:sz="4" w:space="0" w:color="00B050"/>
              <w:right w:val="single" w:sz="4" w:space="0" w:color="00B050"/>
            </w:tcBorders>
            <w:shd w:val="clear" w:color="000000" w:fill="D9D9D9"/>
            <w:vAlign w:val="bottom"/>
          </w:tcPr>
          <w:p w14:paraId="3F1B28A2" w14:textId="77777777" w:rsidR="00003903" w:rsidRPr="00580BD2" w:rsidRDefault="00003903" w:rsidP="00003903">
            <w:pPr>
              <w:spacing w:after="200" w:line="276" w:lineRule="auto"/>
              <w:jc w:val="center"/>
              <w:rPr>
                <w:rFonts w:cs="Arial"/>
                <w:sz w:val="24"/>
                <w:szCs w:val="24"/>
              </w:rPr>
            </w:pPr>
            <w:r w:rsidRPr="00580BD2">
              <w:rPr>
                <w:rFonts w:cs="Arial"/>
                <w:sz w:val="24"/>
                <w:szCs w:val="24"/>
              </w:rPr>
              <w:t>Rates per 10,000</w:t>
            </w:r>
          </w:p>
        </w:tc>
      </w:tr>
      <w:tr w:rsidR="00003903" w:rsidRPr="00580BD2" w14:paraId="69A108DC" w14:textId="77777777" w:rsidTr="00003903">
        <w:trPr>
          <w:trHeight w:hRule="exact" w:val="340"/>
        </w:trPr>
        <w:tc>
          <w:tcPr>
            <w:tcW w:w="3974" w:type="dxa"/>
            <w:tcBorders>
              <w:top w:val="nil"/>
              <w:left w:val="single" w:sz="4" w:space="0" w:color="00B050"/>
              <w:bottom w:val="single" w:sz="4" w:space="0" w:color="00B050"/>
              <w:right w:val="single" w:sz="4" w:space="0" w:color="00B050"/>
            </w:tcBorders>
            <w:shd w:val="clear" w:color="auto" w:fill="auto"/>
            <w:noWrap/>
            <w:vAlign w:val="bottom"/>
            <w:hideMark/>
          </w:tcPr>
          <w:p w14:paraId="69C5D0E9" w14:textId="77777777" w:rsidR="00003903" w:rsidRPr="00580BD2" w:rsidRDefault="00003903" w:rsidP="00003903">
            <w:pPr>
              <w:spacing w:after="200" w:line="276" w:lineRule="auto"/>
              <w:rPr>
                <w:rFonts w:cs="Arial"/>
                <w:sz w:val="24"/>
                <w:szCs w:val="24"/>
              </w:rPr>
            </w:pPr>
            <w:r w:rsidRPr="00580BD2">
              <w:rPr>
                <w:rFonts w:cs="Arial"/>
                <w:sz w:val="24"/>
                <w:szCs w:val="24"/>
              </w:rPr>
              <w:t xml:space="preserve"> All Cases (0-5 years)</w:t>
            </w:r>
          </w:p>
        </w:tc>
        <w:tc>
          <w:tcPr>
            <w:tcW w:w="2127" w:type="dxa"/>
            <w:tcBorders>
              <w:top w:val="nil"/>
              <w:left w:val="nil"/>
              <w:bottom w:val="single" w:sz="4" w:space="0" w:color="00B050"/>
              <w:right w:val="single" w:sz="4" w:space="0" w:color="00B050"/>
            </w:tcBorders>
            <w:shd w:val="clear" w:color="auto" w:fill="auto"/>
            <w:noWrap/>
            <w:vAlign w:val="center"/>
            <w:hideMark/>
          </w:tcPr>
          <w:p w14:paraId="64EC7D2B"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278</w:t>
            </w:r>
          </w:p>
        </w:tc>
        <w:tc>
          <w:tcPr>
            <w:tcW w:w="2688" w:type="dxa"/>
            <w:tcBorders>
              <w:top w:val="single" w:sz="4" w:space="0" w:color="00B050"/>
              <w:left w:val="nil"/>
              <w:bottom w:val="single" w:sz="4" w:space="0" w:color="00B050"/>
              <w:right w:val="single" w:sz="4" w:space="0" w:color="00B050"/>
            </w:tcBorders>
            <w:shd w:val="clear" w:color="auto" w:fill="auto"/>
            <w:vAlign w:val="center"/>
          </w:tcPr>
          <w:p w14:paraId="5F8AC47E"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96.0</w:t>
            </w:r>
          </w:p>
        </w:tc>
      </w:tr>
      <w:tr w:rsidR="00003903" w:rsidRPr="00580BD2" w14:paraId="50FB9C39" w14:textId="77777777" w:rsidTr="00003903">
        <w:trPr>
          <w:trHeight w:hRule="exact" w:val="340"/>
        </w:trPr>
        <w:tc>
          <w:tcPr>
            <w:tcW w:w="3974" w:type="dxa"/>
            <w:tcBorders>
              <w:top w:val="nil"/>
              <w:left w:val="single" w:sz="4" w:space="0" w:color="00B050"/>
              <w:bottom w:val="single" w:sz="4" w:space="0" w:color="00B050"/>
              <w:right w:val="single" w:sz="4" w:space="0" w:color="00B050"/>
            </w:tcBorders>
            <w:shd w:val="clear" w:color="auto" w:fill="auto"/>
            <w:noWrap/>
            <w:vAlign w:val="bottom"/>
            <w:hideMark/>
          </w:tcPr>
          <w:p w14:paraId="61DDE01F" w14:textId="77777777" w:rsidR="00003903" w:rsidRPr="00580BD2" w:rsidRDefault="00003903" w:rsidP="00003903">
            <w:pPr>
              <w:spacing w:after="200" w:line="276" w:lineRule="auto"/>
              <w:rPr>
                <w:rFonts w:cs="Arial"/>
                <w:sz w:val="24"/>
                <w:szCs w:val="24"/>
              </w:rPr>
            </w:pPr>
            <w:r w:rsidRPr="00580BD2">
              <w:rPr>
                <w:rFonts w:cs="Arial"/>
                <w:sz w:val="24"/>
                <w:szCs w:val="24"/>
              </w:rPr>
              <w:t>0</w:t>
            </w:r>
          </w:p>
        </w:tc>
        <w:tc>
          <w:tcPr>
            <w:tcW w:w="2127" w:type="dxa"/>
            <w:tcBorders>
              <w:top w:val="nil"/>
              <w:left w:val="nil"/>
              <w:bottom w:val="single" w:sz="4" w:space="0" w:color="00B050"/>
              <w:right w:val="single" w:sz="4" w:space="0" w:color="00B050"/>
            </w:tcBorders>
            <w:shd w:val="clear" w:color="auto" w:fill="auto"/>
            <w:noWrap/>
            <w:vAlign w:val="center"/>
            <w:hideMark/>
          </w:tcPr>
          <w:p w14:paraId="17EBFD4D"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56</w:t>
            </w:r>
          </w:p>
        </w:tc>
        <w:tc>
          <w:tcPr>
            <w:tcW w:w="2688" w:type="dxa"/>
            <w:tcBorders>
              <w:top w:val="single" w:sz="4" w:space="0" w:color="00B050"/>
              <w:left w:val="nil"/>
              <w:bottom w:val="single" w:sz="4" w:space="0" w:color="00B050"/>
              <w:right w:val="single" w:sz="4" w:space="0" w:color="00B050"/>
            </w:tcBorders>
            <w:shd w:val="clear" w:color="auto" w:fill="auto"/>
            <w:vAlign w:val="center"/>
          </w:tcPr>
          <w:p w14:paraId="536125FF"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122.3</w:t>
            </w:r>
          </w:p>
        </w:tc>
      </w:tr>
      <w:tr w:rsidR="00003903" w:rsidRPr="00580BD2" w14:paraId="094D7009" w14:textId="77777777" w:rsidTr="00003903">
        <w:trPr>
          <w:trHeight w:hRule="exact" w:val="340"/>
        </w:trPr>
        <w:tc>
          <w:tcPr>
            <w:tcW w:w="3974" w:type="dxa"/>
            <w:tcBorders>
              <w:top w:val="nil"/>
              <w:left w:val="single" w:sz="4" w:space="0" w:color="00B050"/>
              <w:bottom w:val="single" w:sz="4" w:space="0" w:color="00B050"/>
              <w:right w:val="single" w:sz="4" w:space="0" w:color="00B050"/>
            </w:tcBorders>
            <w:shd w:val="clear" w:color="auto" w:fill="auto"/>
            <w:noWrap/>
            <w:vAlign w:val="bottom"/>
          </w:tcPr>
          <w:p w14:paraId="5FA528D2" w14:textId="77777777" w:rsidR="00003903" w:rsidRPr="00580BD2" w:rsidRDefault="00003903" w:rsidP="00003903">
            <w:pPr>
              <w:spacing w:after="200" w:line="276" w:lineRule="auto"/>
              <w:rPr>
                <w:rFonts w:cs="Arial"/>
                <w:sz w:val="24"/>
                <w:szCs w:val="24"/>
              </w:rPr>
            </w:pPr>
            <w:r w:rsidRPr="00580BD2">
              <w:rPr>
                <w:rFonts w:cs="Arial"/>
                <w:sz w:val="24"/>
                <w:szCs w:val="24"/>
              </w:rPr>
              <w:t>1 year</w:t>
            </w:r>
          </w:p>
        </w:tc>
        <w:tc>
          <w:tcPr>
            <w:tcW w:w="2127" w:type="dxa"/>
            <w:tcBorders>
              <w:top w:val="nil"/>
              <w:left w:val="nil"/>
              <w:bottom w:val="single" w:sz="4" w:space="0" w:color="00B050"/>
              <w:right w:val="single" w:sz="4" w:space="0" w:color="00B050"/>
            </w:tcBorders>
            <w:shd w:val="clear" w:color="auto" w:fill="auto"/>
            <w:noWrap/>
            <w:vAlign w:val="center"/>
          </w:tcPr>
          <w:p w14:paraId="5E1BF2A1"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61</w:t>
            </w:r>
          </w:p>
        </w:tc>
        <w:tc>
          <w:tcPr>
            <w:tcW w:w="2688" w:type="dxa"/>
            <w:tcBorders>
              <w:top w:val="single" w:sz="4" w:space="0" w:color="00B050"/>
              <w:left w:val="nil"/>
              <w:bottom w:val="single" w:sz="4" w:space="0" w:color="00B050"/>
              <w:right w:val="single" w:sz="4" w:space="0" w:color="00B050"/>
            </w:tcBorders>
            <w:shd w:val="clear" w:color="auto" w:fill="auto"/>
            <w:vAlign w:val="center"/>
          </w:tcPr>
          <w:p w14:paraId="7137EB5E"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127.6</w:t>
            </w:r>
          </w:p>
        </w:tc>
      </w:tr>
      <w:tr w:rsidR="00003903" w:rsidRPr="00580BD2" w14:paraId="547257B7" w14:textId="77777777" w:rsidTr="00003903">
        <w:trPr>
          <w:trHeight w:hRule="exact" w:val="340"/>
        </w:trPr>
        <w:tc>
          <w:tcPr>
            <w:tcW w:w="3974" w:type="dxa"/>
            <w:tcBorders>
              <w:top w:val="nil"/>
              <w:left w:val="single" w:sz="4" w:space="0" w:color="00B050"/>
              <w:bottom w:val="single" w:sz="4" w:space="0" w:color="00B050"/>
              <w:right w:val="single" w:sz="4" w:space="0" w:color="00B050"/>
            </w:tcBorders>
            <w:shd w:val="clear" w:color="auto" w:fill="auto"/>
            <w:noWrap/>
            <w:vAlign w:val="bottom"/>
          </w:tcPr>
          <w:p w14:paraId="7ACFB88C" w14:textId="77777777" w:rsidR="00003903" w:rsidRPr="00580BD2" w:rsidRDefault="00003903" w:rsidP="00003903">
            <w:pPr>
              <w:spacing w:after="200" w:line="276" w:lineRule="auto"/>
              <w:rPr>
                <w:rFonts w:cs="Arial"/>
                <w:sz w:val="24"/>
                <w:szCs w:val="24"/>
              </w:rPr>
            </w:pPr>
            <w:r w:rsidRPr="00580BD2">
              <w:rPr>
                <w:rFonts w:cs="Arial"/>
                <w:sz w:val="24"/>
                <w:szCs w:val="24"/>
              </w:rPr>
              <w:t xml:space="preserve">2 years </w:t>
            </w:r>
          </w:p>
        </w:tc>
        <w:tc>
          <w:tcPr>
            <w:tcW w:w="2127" w:type="dxa"/>
            <w:tcBorders>
              <w:top w:val="nil"/>
              <w:left w:val="nil"/>
              <w:bottom w:val="single" w:sz="4" w:space="0" w:color="00B050"/>
              <w:right w:val="single" w:sz="4" w:space="0" w:color="00B050"/>
            </w:tcBorders>
            <w:shd w:val="clear" w:color="auto" w:fill="auto"/>
            <w:noWrap/>
            <w:vAlign w:val="center"/>
          </w:tcPr>
          <w:p w14:paraId="0DE7C44E"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50</w:t>
            </w:r>
          </w:p>
        </w:tc>
        <w:tc>
          <w:tcPr>
            <w:tcW w:w="2688" w:type="dxa"/>
            <w:tcBorders>
              <w:top w:val="single" w:sz="4" w:space="0" w:color="00B050"/>
              <w:left w:val="nil"/>
              <w:bottom w:val="single" w:sz="4" w:space="0" w:color="00B050"/>
              <w:right w:val="single" w:sz="4" w:space="0" w:color="00B050"/>
            </w:tcBorders>
            <w:shd w:val="clear" w:color="auto" w:fill="auto"/>
            <w:vAlign w:val="center"/>
          </w:tcPr>
          <w:p w14:paraId="0F62981D"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102.6</w:t>
            </w:r>
          </w:p>
        </w:tc>
      </w:tr>
      <w:tr w:rsidR="00003903" w:rsidRPr="00580BD2" w14:paraId="24184C32" w14:textId="77777777" w:rsidTr="00003903">
        <w:trPr>
          <w:trHeight w:hRule="exact" w:val="340"/>
        </w:trPr>
        <w:tc>
          <w:tcPr>
            <w:tcW w:w="3974" w:type="dxa"/>
            <w:tcBorders>
              <w:top w:val="nil"/>
              <w:left w:val="single" w:sz="4" w:space="0" w:color="00B050"/>
              <w:bottom w:val="single" w:sz="4" w:space="0" w:color="00B050"/>
              <w:right w:val="single" w:sz="4" w:space="0" w:color="00B050"/>
            </w:tcBorders>
            <w:shd w:val="clear" w:color="auto" w:fill="auto"/>
            <w:noWrap/>
            <w:vAlign w:val="bottom"/>
          </w:tcPr>
          <w:p w14:paraId="419BF6C0" w14:textId="77777777" w:rsidR="00003903" w:rsidRPr="00580BD2" w:rsidRDefault="00003903" w:rsidP="00003903">
            <w:pPr>
              <w:spacing w:after="200" w:line="276" w:lineRule="auto"/>
              <w:rPr>
                <w:rFonts w:cs="Arial"/>
                <w:sz w:val="24"/>
                <w:szCs w:val="24"/>
              </w:rPr>
            </w:pPr>
            <w:r w:rsidRPr="00580BD2">
              <w:rPr>
                <w:rFonts w:cs="Arial"/>
                <w:sz w:val="24"/>
                <w:szCs w:val="24"/>
              </w:rPr>
              <w:t>3 years</w:t>
            </w:r>
          </w:p>
        </w:tc>
        <w:tc>
          <w:tcPr>
            <w:tcW w:w="2127" w:type="dxa"/>
            <w:tcBorders>
              <w:top w:val="nil"/>
              <w:left w:val="nil"/>
              <w:bottom w:val="single" w:sz="4" w:space="0" w:color="00B050"/>
              <w:right w:val="single" w:sz="4" w:space="0" w:color="00B050"/>
            </w:tcBorders>
            <w:shd w:val="clear" w:color="auto" w:fill="auto"/>
            <w:noWrap/>
            <w:vAlign w:val="center"/>
          </w:tcPr>
          <w:p w14:paraId="1755F37A"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37</w:t>
            </w:r>
          </w:p>
        </w:tc>
        <w:tc>
          <w:tcPr>
            <w:tcW w:w="2688" w:type="dxa"/>
            <w:tcBorders>
              <w:top w:val="single" w:sz="4" w:space="0" w:color="00B050"/>
              <w:left w:val="nil"/>
              <w:bottom w:val="single" w:sz="4" w:space="0" w:color="00B050"/>
              <w:right w:val="single" w:sz="4" w:space="0" w:color="00B050"/>
            </w:tcBorders>
            <w:shd w:val="clear" w:color="auto" w:fill="auto"/>
            <w:vAlign w:val="center"/>
          </w:tcPr>
          <w:p w14:paraId="576A4CFC"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76.9</w:t>
            </w:r>
          </w:p>
        </w:tc>
      </w:tr>
      <w:tr w:rsidR="00003903" w:rsidRPr="00580BD2" w14:paraId="7CC52736" w14:textId="77777777" w:rsidTr="00003903">
        <w:trPr>
          <w:trHeight w:hRule="exact" w:val="340"/>
        </w:trPr>
        <w:tc>
          <w:tcPr>
            <w:tcW w:w="3974" w:type="dxa"/>
            <w:tcBorders>
              <w:top w:val="nil"/>
              <w:left w:val="single" w:sz="4" w:space="0" w:color="00B050"/>
              <w:bottom w:val="single" w:sz="4" w:space="0" w:color="00B050"/>
              <w:right w:val="single" w:sz="4" w:space="0" w:color="00B050"/>
            </w:tcBorders>
            <w:shd w:val="clear" w:color="auto" w:fill="auto"/>
            <w:noWrap/>
            <w:vAlign w:val="bottom"/>
          </w:tcPr>
          <w:p w14:paraId="532FDC2D" w14:textId="77777777" w:rsidR="00003903" w:rsidRPr="00580BD2" w:rsidRDefault="00003903" w:rsidP="00003903">
            <w:pPr>
              <w:spacing w:after="200" w:line="276" w:lineRule="auto"/>
              <w:rPr>
                <w:rFonts w:cs="Arial"/>
                <w:sz w:val="24"/>
                <w:szCs w:val="24"/>
              </w:rPr>
            </w:pPr>
            <w:r w:rsidRPr="00580BD2">
              <w:rPr>
                <w:rFonts w:cs="Arial"/>
                <w:sz w:val="24"/>
                <w:szCs w:val="24"/>
              </w:rPr>
              <w:t>4 years</w:t>
            </w:r>
          </w:p>
        </w:tc>
        <w:tc>
          <w:tcPr>
            <w:tcW w:w="2127" w:type="dxa"/>
            <w:tcBorders>
              <w:top w:val="nil"/>
              <w:left w:val="nil"/>
              <w:bottom w:val="single" w:sz="4" w:space="0" w:color="00B050"/>
              <w:right w:val="single" w:sz="4" w:space="0" w:color="00B050"/>
            </w:tcBorders>
            <w:shd w:val="clear" w:color="auto" w:fill="auto"/>
            <w:noWrap/>
            <w:vAlign w:val="center"/>
          </w:tcPr>
          <w:p w14:paraId="6E1E8529"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36</w:t>
            </w:r>
          </w:p>
        </w:tc>
        <w:tc>
          <w:tcPr>
            <w:tcW w:w="2688" w:type="dxa"/>
            <w:tcBorders>
              <w:top w:val="single" w:sz="4" w:space="0" w:color="00B050"/>
              <w:left w:val="nil"/>
              <w:bottom w:val="single" w:sz="4" w:space="0" w:color="00B050"/>
              <w:right w:val="single" w:sz="4" w:space="0" w:color="00B050"/>
            </w:tcBorders>
            <w:shd w:val="clear" w:color="auto" w:fill="auto"/>
            <w:vAlign w:val="center"/>
          </w:tcPr>
          <w:p w14:paraId="23E7556E"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76.2</w:t>
            </w:r>
          </w:p>
        </w:tc>
      </w:tr>
      <w:tr w:rsidR="00003903" w:rsidRPr="00580BD2" w14:paraId="48605E17" w14:textId="77777777" w:rsidTr="00003903">
        <w:trPr>
          <w:trHeight w:hRule="exact" w:val="340"/>
        </w:trPr>
        <w:tc>
          <w:tcPr>
            <w:tcW w:w="3974" w:type="dxa"/>
            <w:tcBorders>
              <w:top w:val="single" w:sz="4" w:space="0" w:color="00B050"/>
              <w:left w:val="single" w:sz="4" w:space="0" w:color="00B050"/>
              <w:bottom w:val="single" w:sz="4" w:space="0" w:color="00B050"/>
              <w:right w:val="single" w:sz="4" w:space="0" w:color="00B050"/>
            </w:tcBorders>
            <w:shd w:val="clear" w:color="auto" w:fill="auto"/>
            <w:noWrap/>
            <w:vAlign w:val="bottom"/>
          </w:tcPr>
          <w:p w14:paraId="327E430C" w14:textId="77777777" w:rsidR="00003903" w:rsidRPr="00580BD2" w:rsidRDefault="00003903" w:rsidP="00003903">
            <w:pPr>
              <w:spacing w:after="200" w:line="276" w:lineRule="auto"/>
              <w:rPr>
                <w:rFonts w:cs="Arial"/>
                <w:sz w:val="24"/>
                <w:szCs w:val="24"/>
              </w:rPr>
            </w:pPr>
            <w:r w:rsidRPr="00580BD2">
              <w:rPr>
                <w:rFonts w:cs="Arial"/>
                <w:sz w:val="24"/>
                <w:szCs w:val="24"/>
              </w:rPr>
              <w:t xml:space="preserve">5 years </w:t>
            </w:r>
          </w:p>
        </w:tc>
        <w:tc>
          <w:tcPr>
            <w:tcW w:w="2127" w:type="dxa"/>
            <w:tcBorders>
              <w:top w:val="single" w:sz="4" w:space="0" w:color="00B050"/>
              <w:left w:val="nil"/>
              <w:bottom w:val="single" w:sz="4" w:space="0" w:color="00B050"/>
              <w:right w:val="single" w:sz="4" w:space="0" w:color="00B050"/>
            </w:tcBorders>
            <w:shd w:val="clear" w:color="auto" w:fill="auto"/>
            <w:noWrap/>
            <w:vAlign w:val="center"/>
          </w:tcPr>
          <w:p w14:paraId="30DEE3B9"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38</w:t>
            </w:r>
          </w:p>
        </w:tc>
        <w:tc>
          <w:tcPr>
            <w:tcW w:w="2688" w:type="dxa"/>
            <w:tcBorders>
              <w:top w:val="single" w:sz="4" w:space="0" w:color="00B050"/>
              <w:left w:val="nil"/>
              <w:bottom w:val="single" w:sz="4" w:space="0" w:color="00B050"/>
              <w:right w:val="single" w:sz="4" w:space="0" w:color="00B050"/>
            </w:tcBorders>
            <w:shd w:val="clear" w:color="auto" w:fill="auto"/>
            <w:vAlign w:val="center"/>
          </w:tcPr>
          <w:p w14:paraId="71D30B2B" w14:textId="77777777" w:rsidR="00003903" w:rsidRPr="00BB2F17" w:rsidRDefault="00003903" w:rsidP="00003903">
            <w:pPr>
              <w:spacing w:after="200" w:line="276" w:lineRule="auto"/>
              <w:jc w:val="right"/>
              <w:rPr>
                <w:rFonts w:cs="Arial"/>
                <w:sz w:val="24"/>
                <w:szCs w:val="24"/>
              </w:rPr>
            </w:pPr>
            <w:r w:rsidRPr="00BB2F17">
              <w:rPr>
                <w:rFonts w:ascii="Calibri" w:hAnsi="Calibri" w:cs="Calibri"/>
                <w:color w:val="000000"/>
                <w:sz w:val="24"/>
                <w:szCs w:val="24"/>
              </w:rPr>
              <w:t>73.1</w:t>
            </w:r>
          </w:p>
        </w:tc>
      </w:tr>
    </w:tbl>
    <w:p w14:paraId="340680BB" w14:textId="77777777" w:rsidR="00003903" w:rsidRPr="00580BD2" w:rsidRDefault="00003903" w:rsidP="00003903">
      <w:pPr>
        <w:rPr>
          <w:rFonts w:cs="Arial"/>
          <w:sz w:val="24"/>
          <w:szCs w:val="24"/>
        </w:rPr>
      </w:pPr>
      <w:r>
        <w:rPr>
          <w:rFonts w:cs="Arial"/>
          <w:sz w:val="24"/>
          <w:szCs w:val="24"/>
        </w:rPr>
        <w:t xml:space="preserve">Source: </w:t>
      </w:r>
      <w:r w:rsidRPr="0064057C">
        <w:rPr>
          <w:sz w:val="24"/>
          <w:szCs w:val="24"/>
        </w:rPr>
        <w:t>Sandwell Children’s Trust</w:t>
      </w:r>
    </w:p>
    <w:p w14:paraId="788560BE" w14:textId="77777777" w:rsidR="00003903" w:rsidRDefault="00003903" w:rsidP="00003903">
      <w:pPr>
        <w:spacing w:after="160" w:line="259" w:lineRule="auto"/>
        <w:rPr>
          <w:rFonts w:cs="Arial"/>
          <w:sz w:val="24"/>
          <w:szCs w:val="24"/>
        </w:rPr>
      </w:pPr>
    </w:p>
    <w:p w14:paraId="2FDD5EEC" w14:textId="77777777" w:rsidR="00003903" w:rsidRDefault="00003903" w:rsidP="00003903">
      <w:pPr>
        <w:spacing w:after="160" w:line="259" w:lineRule="auto"/>
        <w:rPr>
          <w:rFonts w:cs="Arial"/>
          <w:sz w:val="24"/>
          <w:szCs w:val="24"/>
        </w:rPr>
      </w:pPr>
      <w:r>
        <w:rPr>
          <w:rFonts w:cs="Arial"/>
          <w:sz w:val="24"/>
          <w:szCs w:val="24"/>
        </w:rPr>
        <w:t>In March 2019, boys made up 52.9% of all 0-5s in care, with a rate of 98.4 per 10,000.</w:t>
      </w:r>
    </w:p>
    <w:p w14:paraId="5A8F4DFD" w14:textId="77777777" w:rsidR="00003903" w:rsidRDefault="00003903" w:rsidP="00003903">
      <w:pPr>
        <w:spacing w:after="160" w:line="259" w:lineRule="auto"/>
        <w:rPr>
          <w:rFonts w:cs="Arial"/>
          <w:b/>
          <w:sz w:val="24"/>
          <w:szCs w:val="24"/>
        </w:rPr>
      </w:pPr>
    </w:p>
    <w:p w14:paraId="46AFBCF9" w14:textId="38583C4F" w:rsidR="00003903" w:rsidRPr="00580BD2" w:rsidRDefault="00003903" w:rsidP="00003903">
      <w:pPr>
        <w:rPr>
          <w:rFonts w:cs="Arial"/>
          <w:b/>
          <w:sz w:val="24"/>
          <w:szCs w:val="24"/>
        </w:rPr>
      </w:pPr>
      <w:r w:rsidRPr="00580BD2">
        <w:rPr>
          <w:rFonts w:cs="Arial"/>
          <w:b/>
          <w:sz w:val="24"/>
          <w:szCs w:val="24"/>
        </w:rPr>
        <w:t xml:space="preserve">Table </w:t>
      </w:r>
      <w:r>
        <w:rPr>
          <w:rFonts w:cs="Arial"/>
          <w:b/>
          <w:sz w:val="24"/>
          <w:szCs w:val="24"/>
        </w:rPr>
        <w:t>3.</w:t>
      </w:r>
      <w:r w:rsidR="00D05BB1">
        <w:rPr>
          <w:rFonts w:cs="Arial"/>
          <w:b/>
          <w:sz w:val="24"/>
          <w:szCs w:val="24"/>
        </w:rPr>
        <w:t>10</w:t>
      </w:r>
      <w:r w:rsidRPr="001F5ADC">
        <w:rPr>
          <w:rFonts w:cs="Arial"/>
          <w:b/>
          <w:sz w:val="24"/>
          <w:szCs w:val="24"/>
        </w:rPr>
        <w:t>: C</w:t>
      </w:r>
      <w:r w:rsidRPr="001F5ADC">
        <w:rPr>
          <w:rFonts w:cstheme="majorHAnsi"/>
          <w:b/>
          <w:sz w:val="24"/>
          <w:szCs w:val="24"/>
        </w:rPr>
        <w:t>hildren in Care</w:t>
      </w:r>
      <w:r w:rsidRPr="00580BD2">
        <w:rPr>
          <w:rFonts w:cs="Arial"/>
          <w:b/>
          <w:sz w:val="24"/>
          <w:szCs w:val="24"/>
        </w:rPr>
        <w:t xml:space="preserve"> </w:t>
      </w:r>
      <w:r>
        <w:rPr>
          <w:rFonts w:cs="Arial"/>
          <w:b/>
          <w:sz w:val="24"/>
          <w:szCs w:val="24"/>
        </w:rPr>
        <w:t xml:space="preserve">(aged 0-5) </w:t>
      </w:r>
      <w:r w:rsidRPr="00580BD2">
        <w:rPr>
          <w:rFonts w:cs="Arial"/>
          <w:b/>
          <w:sz w:val="24"/>
          <w:szCs w:val="24"/>
        </w:rPr>
        <w:t xml:space="preserve">by gender </w:t>
      </w:r>
      <w:r>
        <w:rPr>
          <w:rFonts w:cs="Arial"/>
          <w:b/>
          <w:sz w:val="24"/>
          <w:szCs w:val="24"/>
        </w:rPr>
        <w:t>31</w:t>
      </w:r>
      <w:r w:rsidRPr="00096A32">
        <w:rPr>
          <w:rFonts w:cs="Arial"/>
          <w:b/>
          <w:sz w:val="24"/>
          <w:szCs w:val="24"/>
          <w:vertAlign w:val="superscript"/>
        </w:rPr>
        <w:t>st</w:t>
      </w:r>
      <w:r>
        <w:rPr>
          <w:rFonts w:cs="Arial"/>
          <w:b/>
          <w:sz w:val="24"/>
          <w:szCs w:val="24"/>
        </w:rPr>
        <w:t xml:space="preserve"> March 2019</w:t>
      </w:r>
    </w:p>
    <w:tbl>
      <w:tblPr>
        <w:tblpPr w:leftFromText="180" w:rightFromText="180" w:vertAnchor="text" w:tblpY="1"/>
        <w:tblOverlap w:val="never"/>
        <w:tblW w:w="919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48"/>
        <w:gridCol w:w="2551"/>
        <w:gridCol w:w="2393"/>
      </w:tblGrid>
      <w:tr w:rsidR="00003903" w:rsidRPr="00580BD2" w14:paraId="16A12DA2" w14:textId="77777777" w:rsidTr="00003903">
        <w:trPr>
          <w:trHeight w:hRule="exact" w:val="454"/>
        </w:trPr>
        <w:tc>
          <w:tcPr>
            <w:tcW w:w="4248" w:type="dxa"/>
            <w:shd w:val="clear" w:color="000000" w:fill="D9D9D9"/>
            <w:noWrap/>
            <w:vAlign w:val="bottom"/>
          </w:tcPr>
          <w:p w14:paraId="5EF18308" w14:textId="77777777" w:rsidR="00003903" w:rsidRPr="00580BD2" w:rsidRDefault="00003903" w:rsidP="00003903">
            <w:pPr>
              <w:spacing w:after="200" w:line="276" w:lineRule="auto"/>
              <w:rPr>
                <w:rFonts w:cs="Arial"/>
                <w:sz w:val="24"/>
                <w:szCs w:val="24"/>
              </w:rPr>
            </w:pPr>
          </w:p>
        </w:tc>
        <w:tc>
          <w:tcPr>
            <w:tcW w:w="2551" w:type="dxa"/>
            <w:shd w:val="clear" w:color="000000" w:fill="D9D9D9"/>
            <w:noWrap/>
            <w:vAlign w:val="bottom"/>
          </w:tcPr>
          <w:p w14:paraId="723CBD4B" w14:textId="77777777" w:rsidR="00003903" w:rsidRPr="00580BD2" w:rsidRDefault="00003903" w:rsidP="00003903">
            <w:pPr>
              <w:spacing w:after="200" w:line="276" w:lineRule="auto"/>
              <w:rPr>
                <w:rFonts w:cs="Arial"/>
                <w:sz w:val="24"/>
                <w:szCs w:val="24"/>
              </w:rPr>
            </w:pPr>
            <w:r w:rsidRPr="00580BD2">
              <w:rPr>
                <w:rFonts w:cs="Arial"/>
                <w:sz w:val="24"/>
                <w:szCs w:val="24"/>
              </w:rPr>
              <w:t xml:space="preserve">Number of </w:t>
            </w:r>
            <w:r>
              <w:rPr>
                <w:rFonts w:cs="Arial"/>
                <w:sz w:val="24"/>
                <w:szCs w:val="24"/>
              </w:rPr>
              <w:t>c</w:t>
            </w:r>
            <w:r w:rsidRPr="00580BD2">
              <w:rPr>
                <w:rFonts w:cs="Arial"/>
                <w:sz w:val="24"/>
                <w:szCs w:val="24"/>
              </w:rPr>
              <w:t>ases</w:t>
            </w:r>
          </w:p>
        </w:tc>
        <w:tc>
          <w:tcPr>
            <w:tcW w:w="2393" w:type="dxa"/>
            <w:shd w:val="clear" w:color="000000" w:fill="D9D9D9"/>
            <w:vAlign w:val="bottom"/>
          </w:tcPr>
          <w:p w14:paraId="1F36DBF6" w14:textId="77777777" w:rsidR="00003903" w:rsidRPr="00580BD2" w:rsidRDefault="00003903" w:rsidP="00003903">
            <w:pPr>
              <w:spacing w:after="200" w:line="276" w:lineRule="auto"/>
              <w:rPr>
                <w:rFonts w:cs="Arial"/>
                <w:sz w:val="24"/>
                <w:szCs w:val="24"/>
              </w:rPr>
            </w:pPr>
            <w:r w:rsidRPr="00580BD2">
              <w:rPr>
                <w:rFonts w:cs="Arial"/>
                <w:sz w:val="24"/>
                <w:szCs w:val="24"/>
              </w:rPr>
              <w:t>Rate per 10,000</w:t>
            </w:r>
          </w:p>
        </w:tc>
      </w:tr>
      <w:tr w:rsidR="00003903" w:rsidRPr="00580BD2" w14:paraId="584A01F0" w14:textId="77777777" w:rsidTr="00003903">
        <w:trPr>
          <w:trHeight w:hRule="exact" w:val="454"/>
        </w:trPr>
        <w:tc>
          <w:tcPr>
            <w:tcW w:w="4248" w:type="dxa"/>
            <w:shd w:val="clear" w:color="auto" w:fill="auto"/>
            <w:noWrap/>
            <w:vAlign w:val="bottom"/>
            <w:hideMark/>
          </w:tcPr>
          <w:p w14:paraId="40605B58" w14:textId="77777777" w:rsidR="00003903" w:rsidRPr="00580BD2" w:rsidRDefault="00003903" w:rsidP="00003903">
            <w:pPr>
              <w:spacing w:after="200" w:line="276" w:lineRule="auto"/>
              <w:rPr>
                <w:rFonts w:cs="Arial"/>
                <w:sz w:val="24"/>
                <w:szCs w:val="24"/>
              </w:rPr>
            </w:pPr>
            <w:r w:rsidRPr="00580BD2">
              <w:rPr>
                <w:rFonts w:cs="Arial"/>
                <w:sz w:val="24"/>
                <w:szCs w:val="24"/>
              </w:rPr>
              <w:t xml:space="preserve">All </w:t>
            </w:r>
            <w:r>
              <w:rPr>
                <w:rFonts w:cs="Arial"/>
                <w:sz w:val="24"/>
                <w:szCs w:val="24"/>
              </w:rPr>
              <w:t>c</w:t>
            </w:r>
            <w:r w:rsidRPr="00580BD2">
              <w:rPr>
                <w:rFonts w:cs="Arial"/>
                <w:sz w:val="24"/>
                <w:szCs w:val="24"/>
              </w:rPr>
              <w:t>ases</w:t>
            </w:r>
          </w:p>
        </w:tc>
        <w:tc>
          <w:tcPr>
            <w:tcW w:w="2551" w:type="dxa"/>
            <w:shd w:val="clear" w:color="auto" w:fill="auto"/>
            <w:noWrap/>
            <w:vAlign w:val="center"/>
            <w:hideMark/>
          </w:tcPr>
          <w:p w14:paraId="4B9D2159" w14:textId="77777777" w:rsidR="00003903" w:rsidRPr="003B1AB3" w:rsidRDefault="00003903" w:rsidP="00003903">
            <w:pPr>
              <w:spacing w:after="200" w:line="276" w:lineRule="auto"/>
              <w:rPr>
                <w:rFonts w:cs="Arial"/>
                <w:sz w:val="24"/>
                <w:szCs w:val="24"/>
              </w:rPr>
            </w:pPr>
            <w:r w:rsidRPr="003B1AB3">
              <w:rPr>
                <w:rFonts w:ascii="Calibri" w:hAnsi="Calibri" w:cs="Calibri"/>
                <w:color w:val="000000"/>
                <w:sz w:val="24"/>
                <w:szCs w:val="24"/>
              </w:rPr>
              <w:t>278</w:t>
            </w:r>
          </w:p>
        </w:tc>
        <w:tc>
          <w:tcPr>
            <w:tcW w:w="2393" w:type="dxa"/>
            <w:shd w:val="clear" w:color="auto" w:fill="auto"/>
            <w:vAlign w:val="center"/>
          </w:tcPr>
          <w:p w14:paraId="66154020" w14:textId="77777777" w:rsidR="00003903" w:rsidRPr="003B1AB3" w:rsidRDefault="00003903" w:rsidP="00003903">
            <w:pPr>
              <w:spacing w:after="200" w:line="276" w:lineRule="auto"/>
              <w:rPr>
                <w:rFonts w:cs="Arial"/>
                <w:sz w:val="24"/>
                <w:szCs w:val="24"/>
              </w:rPr>
            </w:pPr>
            <w:r w:rsidRPr="003B1AB3">
              <w:rPr>
                <w:rFonts w:ascii="Calibri" w:hAnsi="Calibri" w:cs="Calibri"/>
                <w:color w:val="000000"/>
                <w:sz w:val="24"/>
                <w:szCs w:val="24"/>
              </w:rPr>
              <w:t>96.0</w:t>
            </w:r>
          </w:p>
        </w:tc>
      </w:tr>
      <w:tr w:rsidR="00003903" w:rsidRPr="00580BD2" w14:paraId="591B3611" w14:textId="77777777" w:rsidTr="00003903">
        <w:trPr>
          <w:trHeight w:hRule="exact" w:val="454"/>
        </w:trPr>
        <w:tc>
          <w:tcPr>
            <w:tcW w:w="4248" w:type="dxa"/>
            <w:shd w:val="clear" w:color="auto" w:fill="auto"/>
            <w:noWrap/>
            <w:vAlign w:val="bottom"/>
            <w:hideMark/>
          </w:tcPr>
          <w:p w14:paraId="2A3926C3" w14:textId="77777777" w:rsidR="00003903" w:rsidRPr="00580BD2" w:rsidRDefault="00003903" w:rsidP="00003903">
            <w:pPr>
              <w:spacing w:after="200" w:line="276" w:lineRule="auto"/>
              <w:rPr>
                <w:rFonts w:cs="Arial"/>
                <w:sz w:val="24"/>
                <w:szCs w:val="24"/>
              </w:rPr>
            </w:pPr>
            <w:r w:rsidRPr="00580BD2">
              <w:rPr>
                <w:rFonts w:cs="Arial"/>
                <w:sz w:val="24"/>
                <w:szCs w:val="24"/>
              </w:rPr>
              <w:t>Female</w:t>
            </w:r>
          </w:p>
        </w:tc>
        <w:tc>
          <w:tcPr>
            <w:tcW w:w="2551" w:type="dxa"/>
            <w:shd w:val="clear" w:color="auto" w:fill="auto"/>
            <w:noWrap/>
            <w:vAlign w:val="center"/>
            <w:hideMark/>
          </w:tcPr>
          <w:p w14:paraId="6D90C0C2" w14:textId="77777777" w:rsidR="00003903" w:rsidRPr="003B1AB3" w:rsidRDefault="00003903" w:rsidP="00003903">
            <w:pPr>
              <w:spacing w:after="200" w:line="276" w:lineRule="auto"/>
              <w:rPr>
                <w:rFonts w:cs="Arial"/>
                <w:sz w:val="24"/>
                <w:szCs w:val="24"/>
              </w:rPr>
            </w:pPr>
            <w:r w:rsidRPr="003B1AB3">
              <w:rPr>
                <w:rFonts w:ascii="Calibri" w:hAnsi="Calibri" w:cs="Calibri"/>
                <w:color w:val="000000"/>
                <w:sz w:val="24"/>
                <w:szCs w:val="24"/>
              </w:rPr>
              <w:t>131 (47.1%)</w:t>
            </w:r>
          </w:p>
        </w:tc>
        <w:tc>
          <w:tcPr>
            <w:tcW w:w="2393" w:type="dxa"/>
            <w:shd w:val="clear" w:color="auto" w:fill="auto"/>
            <w:vAlign w:val="center"/>
          </w:tcPr>
          <w:p w14:paraId="653FBBF9" w14:textId="77777777" w:rsidR="00003903" w:rsidRPr="003B1AB3" w:rsidRDefault="00003903" w:rsidP="00003903">
            <w:pPr>
              <w:spacing w:after="200" w:line="276" w:lineRule="auto"/>
              <w:rPr>
                <w:rFonts w:cs="Arial"/>
                <w:sz w:val="24"/>
                <w:szCs w:val="24"/>
              </w:rPr>
            </w:pPr>
            <w:r w:rsidRPr="003B1AB3">
              <w:rPr>
                <w:rFonts w:ascii="Calibri" w:hAnsi="Calibri" w:cs="Calibri"/>
                <w:color w:val="000000"/>
                <w:sz w:val="24"/>
                <w:szCs w:val="24"/>
              </w:rPr>
              <w:t>93.3</w:t>
            </w:r>
          </w:p>
        </w:tc>
      </w:tr>
      <w:tr w:rsidR="00003903" w:rsidRPr="00580BD2" w14:paraId="27649771" w14:textId="77777777" w:rsidTr="00003903">
        <w:trPr>
          <w:trHeight w:hRule="exact" w:val="454"/>
        </w:trPr>
        <w:tc>
          <w:tcPr>
            <w:tcW w:w="4248" w:type="dxa"/>
            <w:shd w:val="clear" w:color="auto" w:fill="auto"/>
            <w:noWrap/>
            <w:vAlign w:val="bottom"/>
            <w:hideMark/>
          </w:tcPr>
          <w:p w14:paraId="03F618A0" w14:textId="77777777" w:rsidR="00003903" w:rsidRPr="00580BD2" w:rsidRDefault="00003903" w:rsidP="00003903">
            <w:pPr>
              <w:spacing w:after="200" w:line="276" w:lineRule="auto"/>
              <w:rPr>
                <w:rFonts w:cs="Arial"/>
                <w:sz w:val="24"/>
                <w:szCs w:val="24"/>
              </w:rPr>
            </w:pPr>
            <w:r w:rsidRPr="00580BD2">
              <w:rPr>
                <w:rFonts w:cs="Arial"/>
                <w:sz w:val="24"/>
                <w:szCs w:val="24"/>
              </w:rPr>
              <w:t>Male</w:t>
            </w:r>
          </w:p>
        </w:tc>
        <w:tc>
          <w:tcPr>
            <w:tcW w:w="2551" w:type="dxa"/>
            <w:shd w:val="clear" w:color="auto" w:fill="auto"/>
            <w:noWrap/>
            <w:vAlign w:val="center"/>
            <w:hideMark/>
          </w:tcPr>
          <w:p w14:paraId="131B5B90" w14:textId="77777777" w:rsidR="00003903" w:rsidRPr="003B1AB3" w:rsidRDefault="00003903" w:rsidP="00003903">
            <w:pPr>
              <w:spacing w:after="200" w:line="276" w:lineRule="auto"/>
              <w:rPr>
                <w:rFonts w:cs="Arial"/>
                <w:sz w:val="24"/>
                <w:szCs w:val="24"/>
              </w:rPr>
            </w:pPr>
            <w:r w:rsidRPr="003B1AB3">
              <w:rPr>
                <w:rFonts w:ascii="Calibri" w:hAnsi="Calibri" w:cs="Calibri"/>
                <w:color w:val="000000"/>
                <w:sz w:val="24"/>
                <w:szCs w:val="24"/>
              </w:rPr>
              <w:t>147 (52.9%)</w:t>
            </w:r>
          </w:p>
        </w:tc>
        <w:tc>
          <w:tcPr>
            <w:tcW w:w="2393" w:type="dxa"/>
            <w:shd w:val="clear" w:color="auto" w:fill="auto"/>
            <w:vAlign w:val="center"/>
          </w:tcPr>
          <w:p w14:paraId="1B9467F3" w14:textId="77777777" w:rsidR="00003903" w:rsidRPr="003B1AB3" w:rsidRDefault="00003903" w:rsidP="00003903">
            <w:pPr>
              <w:spacing w:after="200" w:line="276" w:lineRule="auto"/>
              <w:rPr>
                <w:rFonts w:cs="Arial"/>
                <w:sz w:val="24"/>
                <w:szCs w:val="24"/>
              </w:rPr>
            </w:pPr>
            <w:r w:rsidRPr="003B1AB3">
              <w:rPr>
                <w:rFonts w:ascii="Calibri" w:hAnsi="Calibri" w:cs="Calibri"/>
                <w:color w:val="000000"/>
                <w:sz w:val="24"/>
                <w:szCs w:val="24"/>
              </w:rPr>
              <w:t>98.4</w:t>
            </w:r>
          </w:p>
        </w:tc>
      </w:tr>
    </w:tbl>
    <w:p w14:paraId="59128C70" w14:textId="77777777" w:rsidR="00003903" w:rsidRPr="00580BD2" w:rsidRDefault="00003903" w:rsidP="00003903">
      <w:pPr>
        <w:rPr>
          <w:rFonts w:cs="Arial"/>
          <w:sz w:val="24"/>
          <w:szCs w:val="24"/>
        </w:rPr>
      </w:pPr>
      <w:r>
        <w:rPr>
          <w:rFonts w:cs="Arial"/>
          <w:sz w:val="24"/>
          <w:szCs w:val="24"/>
        </w:rPr>
        <w:t xml:space="preserve">Source: </w:t>
      </w:r>
      <w:r w:rsidRPr="0064057C">
        <w:rPr>
          <w:sz w:val="24"/>
          <w:szCs w:val="24"/>
        </w:rPr>
        <w:t>Sandwell Children’s Trust</w:t>
      </w:r>
    </w:p>
    <w:p w14:paraId="37A27BFB" w14:textId="77777777" w:rsidR="00003903" w:rsidRDefault="00003903" w:rsidP="00003903">
      <w:pPr>
        <w:spacing w:line="276" w:lineRule="auto"/>
        <w:rPr>
          <w:rFonts w:cs="Arial"/>
          <w:sz w:val="24"/>
          <w:szCs w:val="24"/>
        </w:rPr>
      </w:pPr>
    </w:p>
    <w:p w14:paraId="6F7B171C" w14:textId="30C5961D" w:rsidR="00003903" w:rsidRDefault="00003903" w:rsidP="00003903">
      <w:pPr>
        <w:spacing w:line="276" w:lineRule="auto"/>
        <w:rPr>
          <w:rFonts w:cs="Arial"/>
          <w:sz w:val="24"/>
          <w:szCs w:val="24"/>
        </w:rPr>
      </w:pPr>
      <w:r>
        <w:rPr>
          <w:rFonts w:cs="Arial"/>
          <w:sz w:val="24"/>
          <w:szCs w:val="24"/>
        </w:rPr>
        <w:t xml:space="preserve">In March 2019, over 60% of children in care are from White groups, </w:t>
      </w:r>
      <w:r w:rsidR="007F3686">
        <w:rPr>
          <w:rFonts w:cs="Arial"/>
          <w:sz w:val="24"/>
          <w:szCs w:val="24"/>
        </w:rPr>
        <w:t>which is above the expected proportion compared to the population overall. Th</w:t>
      </w:r>
      <w:r>
        <w:rPr>
          <w:rFonts w:cs="Arial"/>
          <w:sz w:val="24"/>
          <w:szCs w:val="24"/>
        </w:rPr>
        <w:t xml:space="preserve">e highest rate is among those of mixed ethnicity, at </w:t>
      </w:r>
      <w:r w:rsidR="007F3686">
        <w:rPr>
          <w:rFonts w:cs="Arial"/>
          <w:sz w:val="24"/>
          <w:szCs w:val="24"/>
        </w:rPr>
        <w:t>26.3%</w:t>
      </w:r>
      <w:r>
        <w:rPr>
          <w:rFonts w:cs="Arial"/>
          <w:sz w:val="24"/>
          <w:szCs w:val="24"/>
        </w:rPr>
        <w:t xml:space="preserve"> of </w:t>
      </w:r>
      <w:r w:rsidR="007F3686">
        <w:rPr>
          <w:rFonts w:cs="Arial"/>
          <w:sz w:val="24"/>
          <w:szCs w:val="24"/>
        </w:rPr>
        <w:t xml:space="preserve">cases in comparison to 9.1% </w:t>
      </w:r>
      <w:r>
        <w:rPr>
          <w:rFonts w:cs="Arial"/>
          <w:sz w:val="24"/>
          <w:szCs w:val="24"/>
        </w:rPr>
        <w:t>in Sandwell</w:t>
      </w:r>
      <w:r w:rsidR="007F3686">
        <w:rPr>
          <w:rFonts w:cs="Arial"/>
          <w:sz w:val="24"/>
          <w:szCs w:val="24"/>
        </w:rPr>
        <w:t>’s 0-5 population</w:t>
      </w:r>
      <w:r>
        <w:rPr>
          <w:rFonts w:cs="Arial"/>
          <w:sz w:val="24"/>
          <w:szCs w:val="24"/>
        </w:rPr>
        <w:t xml:space="preserve"> – however, this may be a reflection of the changing ethnicity of Sandwell’s population sin</w:t>
      </w:r>
      <w:r w:rsidR="007F3686">
        <w:rPr>
          <w:rFonts w:cs="Arial"/>
          <w:sz w:val="24"/>
          <w:szCs w:val="24"/>
        </w:rPr>
        <w:t>ce the 2011 Census. The lowest proportion</w:t>
      </w:r>
      <w:r>
        <w:rPr>
          <w:rFonts w:cs="Arial"/>
          <w:sz w:val="24"/>
          <w:szCs w:val="24"/>
        </w:rPr>
        <w:t xml:space="preserve"> is among those of Asian or “other” origin.</w:t>
      </w:r>
    </w:p>
    <w:p w14:paraId="60327F96" w14:textId="77777777" w:rsidR="00003903" w:rsidRPr="00580BD2" w:rsidRDefault="00003903" w:rsidP="00003903">
      <w:pPr>
        <w:rPr>
          <w:rFonts w:cs="Arial"/>
          <w:sz w:val="24"/>
          <w:szCs w:val="24"/>
        </w:rPr>
      </w:pPr>
    </w:p>
    <w:tbl>
      <w:tblPr>
        <w:tblpPr w:leftFromText="180" w:rightFromText="180" w:vertAnchor="text" w:horzAnchor="margin" w:tblpY="342"/>
        <w:tblW w:w="920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407"/>
        <w:gridCol w:w="1274"/>
        <w:gridCol w:w="1701"/>
        <w:gridCol w:w="2126"/>
        <w:gridCol w:w="1701"/>
      </w:tblGrid>
      <w:tr w:rsidR="004B685D" w:rsidRPr="00580BD2" w14:paraId="15B01B50" w14:textId="77777777" w:rsidTr="000A6B11">
        <w:trPr>
          <w:trHeight w:val="364"/>
        </w:trPr>
        <w:tc>
          <w:tcPr>
            <w:tcW w:w="2407" w:type="dxa"/>
            <w:vMerge w:val="restart"/>
            <w:shd w:val="clear" w:color="auto" w:fill="D9D9D9" w:themeFill="background1" w:themeFillShade="D9"/>
            <w:vAlign w:val="center"/>
          </w:tcPr>
          <w:p w14:paraId="25D651A1" w14:textId="72B65EE0" w:rsidR="004B685D" w:rsidRPr="00580BD2" w:rsidRDefault="004B685D" w:rsidP="000A6B11">
            <w:pPr>
              <w:spacing w:after="0" w:line="240" w:lineRule="auto"/>
              <w:rPr>
                <w:rFonts w:eastAsia="Times New Roman" w:cs="Arial"/>
                <w:b/>
                <w:bCs/>
                <w:color w:val="000000"/>
                <w:sz w:val="24"/>
                <w:szCs w:val="24"/>
                <w:lang w:eastAsia="en-GB"/>
              </w:rPr>
            </w:pPr>
            <w:r w:rsidRPr="00580BD2">
              <w:rPr>
                <w:rFonts w:eastAsia="Times New Roman" w:cs="Arial"/>
                <w:b/>
                <w:bCs/>
                <w:color w:val="000000"/>
                <w:sz w:val="24"/>
                <w:szCs w:val="24"/>
                <w:lang w:eastAsia="en-GB"/>
              </w:rPr>
              <w:t>Ethnic Group</w:t>
            </w:r>
          </w:p>
        </w:tc>
        <w:tc>
          <w:tcPr>
            <w:tcW w:w="2975" w:type="dxa"/>
            <w:gridSpan w:val="2"/>
            <w:shd w:val="clear" w:color="auto" w:fill="D9D9D9" w:themeFill="background1" w:themeFillShade="D9"/>
          </w:tcPr>
          <w:p w14:paraId="4E36270C" w14:textId="5C0238AB" w:rsidR="004B685D" w:rsidRDefault="004B685D" w:rsidP="00003903">
            <w:pPr>
              <w:spacing w:after="0" w:line="240" w:lineRule="auto"/>
              <w:jc w:val="center"/>
              <w:rPr>
                <w:rFonts w:cs="Arial"/>
                <w:sz w:val="24"/>
                <w:szCs w:val="24"/>
              </w:rPr>
            </w:pPr>
            <w:r>
              <w:rPr>
                <w:rFonts w:cs="Arial"/>
                <w:sz w:val="24"/>
                <w:szCs w:val="24"/>
              </w:rPr>
              <w:t>Cases</w:t>
            </w:r>
          </w:p>
        </w:tc>
        <w:tc>
          <w:tcPr>
            <w:tcW w:w="3827" w:type="dxa"/>
            <w:gridSpan w:val="2"/>
            <w:shd w:val="clear" w:color="auto" w:fill="D9D9D9" w:themeFill="background1" w:themeFillShade="D9"/>
          </w:tcPr>
          <w:p w14:paraId="18B93EEF" w14:textId="78A93472" w:rsidR="004B685D" w:rsidRDefault="004B685D" w:rsidP="00003903">
            <w:pPr>
              <w:spacing w:after="0" w:line="240" w:lineRule="auto"/>
              <w:jc w:val="center"/>
              <w:rPr>
                <w:rFonts w:cs="Arial"/>
                <w:sz w:val="24"/>
                <w:szCs w:val="24"/>
              </w:rPr>
            </w:pPr>
            <w:r>
              <w:rPr>
                <w:rFonts w:cs="Arial"/>
                <w:sz w:val="24"/>
                <w:szCs w:val="24"/>
              </w:rPr>
              <w:t xml:space="preserve">0-5s by ethnicity </w:t>
            </w:r>
            <w:r w:rsidRPr="00313B6C">
              <w:rPr>
                <w:rFonts w:cs="Arial"/>
                <w:i/>
              </w:rPr>
              <w:t>(2011 Census)</w:t>
            </w:r>
          </w:p>
        </w:tc>
      </w:tr>
      <w:tr w:rsidR="004B685D" w:rsidRPr="00580BD2" w14:paraId="67FCFD1B" w14:textId="77777777" w:rsidTr="00003903">
        <w:trPr>
          <w:trHeight w:val="364"/>
        </w:trPr>
        <w:tc>
          <w:tcPr>
            <w:tcW w:w="2407" w:type="dxa"/>
            <w:vMerge/>
            <w:shd w:val="clear" w:color="auto" w:fill="D9D9D9" w:themeFill="background1" w:themeFillShade="D9"/>
            <w:vAlign w:val="center"/>
          </w:tcPr>
          <w:p w14:paraId="0C55856C" w14:textId="10323F62" w:rsidR="004B685D" w:rsidRPr="00580BD2" w:rsidRDefault="004B685D" w:rsidP="00003903">
            <w:pPr>
              <w:spacing w:after="0" w:line="240" w:lineRule="auto"/>
              <w:rPr>
                <w:rFonts w:eastAsia="Times New Roman" w:cs="Arial"/>
                <w:color w:val="000000"/>
                <w:sz w:val="24"/>
                <w:szCs w:val="24"/>
                <w:lang w:eastAsia="en-GB"/>
              </w:rPr>
            </w:pPr>
          </w:p>
        </w:tc>
        <w:tc>
          <w:tcPr>
            <w:tcW w:w="1274" w:type="dxa"/>
            <w:shd w:val="clear" w:color="auto" w:fill="D9D9D9" w:themeFill="background1" w:themeFillShade="D9"/>
          </w:tcPr>
          <w:p w14:paraId="47EC313D" w14:textId="2DF4845F" w:rsidR="004B685D" w:rsidRPr="00580BD2" w:rsidRDefault="004B685D" w:rsidP="00003903">
            <w:pPr>
              <w:spacing w:after="0" w:line="240" w:lineRule="auto"/>
              <w:jc w:val="center"/>
              <w:rPr>
                <w:rFonts w:eastAsia="Times New Roman" w:cs="Arial"/>
                <w:color w:val="000000"/>
                <w:sz w:val="24"/>
                <w:szCs w:val="24"/>
                <w:lang w:eastAsia="en-GB"/>
              </w:rPr>
            </w:pPr>
            <w:r>
              <w:rPr>
                <w:rFonts w:cs="Arial"/>
                <w:sz w:val="24"/>
                <w:szCs w:val="24"/>
              </w:rPr>
              <w:t>Number</w:t>
            </w:r>
          </w:p>
        </w:tc>
        <w:tc>
          <w:tcPr>
            <w:tcW w:w="1701" w:type="dxa"/>
            <w:shd w:val="clear" w:color="auto" w:fill="D9D9D9" w:themeFill="background1" w:themeFillShade="D9"/>
          </w:tcPr>
          <w:p w14:paraId="4B29C30E" w14:textId="68F049F9" w:rsidR="004B685D" w:rsidRPr="00580BD2" w:rsidRDefault="004B685D" w:rsidP="00003903">
            <w:pPr>
              <w:spacing w:after="0" w:line="240" w:lineRule="auto"/>
              <w:jc w:val="center"/>
              <w:rPr>
                <w:rFonts w:eastAsia="Times New Roman" w:cs="Arial"/>
                <w:color w:val="000000"/>
                <w:sz w:val="24"/>
                <w:szCs w:val="24"/>
                <w:lang w:eastAsia="en-GB"/>
              </w:rPr>
            </w:pPr>
            <w:r>
              <w:rPr>
                <w:rFonts w:cs="Arial"/>
                <w:sz w:val="24"/>
                <w:szCs w:val="24"/>
              </w:rPr>
              <w:t>%</w:t>
            </w:r>
          </w:p>
        </w:tc>
        <w:tc>
          <w:tcPr>
            <w:tcW w:w="2126" w:type="dxa"/>
            <w:shd w:val="clear" w:color="auto" w:fill="D9D9D9" w:themeFill="background1" w:themeFillShade="D9"/>
          </w:tcPr>
          <w:p w14:paraId="1C2CDE62" w14:textId="09383820" w:rsidR="004B685D" w:rsidRDefault="004B685D" w:rsidP="00003903">
            <w:pPr>
              <w:spacing w:after="0" w:line="240" w:lineRule="auto"/>
              <w:jc w:val="center"/>
              <w:rPr>
                <w:rFonts w:eastAsia="Times New Roman" w:cs="Arial"/>
                <w:color w:val="000000"/>
                <w:sz w:val="24"/>
                <w:szCs w:val="24"/>
                <w:lang w:eastAsia="en-GB"/>
              </w:rPr>
            </w:pPr>
            <w:r>
              <w:rPr>
                <w:rFonts w:cs="Arial"/>
                <w:sz w:val="24"/>
                <w:szCs w:val="24"/>
              </w:rPr>
              <w:t xml:space="preserve">Number </w:t>
            </w:r>
          </w:p>
        </w:tc>
        <w:tc>
          <w:tcPr>
            <w:tcW w:w="1701" w:type="dxa"/>
            <w:shd w:val="clear" w:color="auto" w:fill="D9D9D9" w:themeFill="background1" w:themeFillShade="D9"/>
          </w:tcPr>
          <w:p w14:paraId="005C1778" w14:textId="333AC2B8" w:rsidR="004B685D" w:rsidRPr="00580BD2" w:rsidRDefault="004B685D" w:rsidP="00003903">
            <w:pPr>
              <w:spacing w:after="0" w:line="240" w:lineRule="auto"/>
              <w:jc w:val="center"/>
              <w:rPr>
                <w:rFonts w:eastAsia="Times New Roman" w:cs="Arial"/>
                <w:color w:val="000000"/>
                <w:sz w:val="24"/>
                <w:szCs w:val="24"/>
                <w:lang w:eastAsia="en-GB"/>
              </w:rPr>
            </w:pPr>
            <w:r>
              <w:rPr>
                <w:rFonts w:cs="Arial"/>
                <w:sz w:val="24"/>
                <w:szCs w:val="24"/>
              </w:rPr>
              <w:t>%</w:t>
            </w:r>
          </w:p>
        </w:tc>
      </w:tr>
      <w:tr w:rsidR="00BD594E" w:rsidRPr="00580BD2" w14:paraId="4AB30FDF" w14:textId="77777777" w:rsidTr="007F3686">
        <w:trPr>
          <w:trHeight w:val="364"/>
        </w:trPr>
        <w:tc>
          <w:tcPr>
            <w:tcW w:w="2407" w:type="dxa"/>
            <w:shd w:val="clear" w:color="auto" w:fill="auto"/>
            <w:vAlign w:val="center"/>
          </w:tcPr>
          <w:p w14:paraId="6F86DC95" w14:textId="77777777" w:rsidR="00BD594E" w:rsidRPr="00580BD2" w:rsidRDefault="00BD594E" w:rsidP="00BD594E">
            <w:pPr>
              <w:spacing w:after="0" w:line="240" w:lineRule="auto"/>
              <w:rPr>
                <w:rFonts w:eastAsia="Times New Roman" w:cs="Arial"/>
                <w:color w:val="000000"/>
                <w:sz w:val="24"/>
                <w:szCs w:val="24"/>
                <w:lang w:eastAsia="en-GB"/>
              </w:rPr>
            </w:pPr>
            <w:bookmarkStart w:id="29" w:name="_Hlk21614680"/>
            <w:r w:rsidRPr="00580BD2">
              <w:rPr>
                <w:rFonts w:eastAsia="Times New Roman" w:cs="Arial"/>
                <w:color w:val="000000"/>
                <w:sz w:val="24"/>
                <w:szCs w:val="24"/>
                <w:lang w:eastAsia="en-GB"/>
              </w:rPr>
              <w:t>White</w:t>
            </w:r>
          </w:p>
        </w:tc>
        <w:tc>
          <w:tcPr>
            <w:tcW w:w="1274" w:type="dxa"/>
            <w:vAlign w:val="center"/>
          </w:tcPr>
          <w:p w14:paraId="23C93E4F"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171</w:t>
            </w:r>
          </w:p>
        </w:tc>
        <w:tc>
          <w:tcPr>
            <w:tcW w:w="1701" w:type="dxa"/>
            <w:vAlign w:val="center"/>
          </w:tcPr>
          <w:p w14:paraId="7A68320A"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61.5%</w:t>
            </w:r>
          </w:p>
        </w:tc>
        <w:tc>
          <w:tcPr>
            <w:tcW w:w="2126" w:type="dxa"/>
            <w:vAlign w:val="center"/>
          </w:tcPr>
          <w:p w14:paraId="0A54A591" w14:textId="77777777" w:rsidR="00BD594E" w:rsidRPr="005C7A29" w:rsidRDefault="00BD594E" w:rsidP="00BD594E">
            <w:pPr>
              <w:spacing w:after="0" w:line="240" w:lineRule="auto"/>
              <w:jc w:val="right"/>
              <w:rPr>
                <w:rFonts w:ascii="Calibri" w:hAnsi="Calibri" w:cs="Calibri"/>
                <w:color w:val="000000"/>
                <w:sz w:val="24"/>
                <w:szCs w:val="24"/>
              </w:rPr>
            </w:pPr>
            <w:r w:rsidRPr="00313B6C">
              <w:rPr>
                <w:rFonts w:ascii="Calibri" w:hAnsi="Calibri" w:cs="Calibri"/>
                <w:color w:val="000000"/>
                <w:sz w:val="24"/>
                <w:szCs w:val="24"/>
              </w:rPr>
              <w:t>15,104</w:t>
            </w:r>
          </w:p>
        </w:tc>
        <w:tc>
          <w:tcPr>
            <w:tcW w:w="1701" w:type="dxa"/>
            <w:vAlign w:val="center"/>
          </w:tcPr>
          <w:p w14:paraId="6C606FEF" w14:textId="59F95C5A" w:rsidR="00BD594E" w:rsidRPr="007F3686" w:rsidRDefault="00BD594E" w:rsidP="00BD594E">
            <w:pPr>
              <w:spacing w:after="0" w:line="240" w:lineRule="auto"/>
              <w:jc w:val="right"/>
              <w:rPr>
                <w:rFonts w:eastAsia="Times New Roman" w:cs="Arial"/>
                <w:color w:val="000000"/>
                <w:sz w:val="24"/>
                <w:szCs w:val="24"/>
                <w:lang w:eastAsia="en-GB"/>
              </w:rPr>
            </w:pPr>
            <w:r w:rsidRPr="007F3686">
              <w:rPr>
                <w:rFonts w:ascii="Calibri" w:hAnsi="Calibri" w:cs="Calibri"/>
                <w:color w:val="000000"/>
                <w:sz w:val="24"/>
                <w:szCs w:val="24"/>
              </w:rPr>
              <w:t>56.3%</w:t>
            </w:r>
          </w:p>
        </w:tc>
      </w:tr>
      <w:tr w:rsidR="00BD594E" w:rsidRPr="00580BD2" w14:paraId="0C38D946" w14:textId="77777777" w:rsidTr="007F3686">
        <w:trPr>
          <w:trHeight w:val="364"/>
        </w:trPr>
        <w:tc>
          <w:tcPr>
            <w:tcW w:w="2407" w:type="dxa"/>
            <w:shd w:val="clear" w:color="auto" w:fill="auto"/>
            <w:vAlign w:val="center"/>
          </w:tcPr>
          <w:p w14:paraId="5274B527" w14:textId="77777777" w:rsidR="00BD594E" w:rsidRPr="00580BD2" w:rsidRDefault="00BD594E" w:rsidP="00BD594E">
            <w:pPr>
              <w:spacing w:after="0" w:line="240" w:lineRule="auto"/>
              <w:rPr>
                <w:rFonts w:eastAsia="Times New Roman" w:cs="Arial"/>
                <w:color w:val="000000"/>
                <w:sz w:val="24"/>
                <w:szCs w:val="24"/>
                <w:lang w:eastAsia="en-GB"/>
              </w:rPr>
            </w:pPr>
            <w:r w:rsidRPr="00580BD2">
              <w:rPr>
                <w:rFonts w:eastAsia="Times New Roman" w:cs="Arial"/>
                <w:color w:val="000000"/>
                <w:sz w:val="24"/>
                <w:szCs w:val="24"/>
                <w:lang w:eastAsia="en-GB"/>
              </w:rPr>
              <w:t>Asian or Asian British</w:t>
            </w:r>
          </w:p>
        </w:tc>
        <w:tc>
          <w:tcPr>
            <w:tcW w:w="1274" w:type="dxa"/>
            <w:vAlign w:val="center"/>
          </w:tcPr>
          <w:p w14:paraId="62567C85"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12</w:t>
            </w:r>
          </w:p>
        </w:tc>
        <w:tc>
          <w:tcPr>
            <w:tcW w:w="1701" w:type="dxa"/>
            <w:vAlign w:val="center"/>
          </w:tcPr>
          <w:p w14:paraId="2AF3F4FA"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4.3%</w:t>
            </w:r>
          </w:p>
        </w:tc>
        <w:tc>
          <w:tcPr>
            <w:tcW w:w="2126" w:type="dxa"/>
            <w:vAlign w:val="center"/>
          </w:tcPr>
          <w:p w14:paraId="6C09DB8E" w14:textId="77777777" w:rsidR="00BD594E" w:rsidRPr="005C7A29" w:rsidRDefault="00BD594E" w:rsidP="00BD594E">
            <w:pPr>
              <w:spacing w:after="0" w:line="240" w:lineRule="auto"/>
              <w:jc w:val="right"/>
              <w:rPr>
                <w:rFonts w:ascii="Calibri" w:hAnsi="Calibri" w:cs="Calibri"/>
                <w:color w:val="000000"/>
                <w:sz w:val="24"/>
                <w:szCs w:val="24"/>
              </w:rPr>
            </w:pPr>
            <w:r w:rsidRPr="00313B6C">
              <w:rPr>
                <w:rFonts w:ascii="Calibri" w:hAnsi="Calibri" w:cs="Calibri"/>
                <w:color w:val="000000"/>
                <w:sz w:val="24"/>
                <w:szCs w:val="24"/>
              </w:rPr>
              <w:t>6,836</w:t>
            </w:r>
          </w:p>
        </w:tc>
        <w:tc>
          <w:tcPr>
            <w:tcW w:w="1701" w:type="dxa"/>
            <w:vAlign w:val="center"/>
          </w:tcPr>
          <w:p w14:paraId="5138D464" w14:textId="41ACAB18" w:rsidR="00BD594E" w:rsidRPr="007F3686" w:rsidRDefault="00BD594E" w:rsidP="00BD594E">
            <w:pPr>
              <w:spacing w:after="0" w:line="240" w:lineRule="auto"/>
              <w:jc w:val="right"/>
              <w:rPr>
                <w:rFonts w:eastAsia="Times New Roman" w:cs="Arial"/>
                <w:color w:val="000000"/>
                <w:sz w:val="24"/>
                <w:szCs w:val="24"/>
                <w:lang w:eastAsia="en-GB"/>
              </w:rPr>
            </w:pPr>
            <w:r w:rsidRPr="007F3686">
              <w:rPr>
                <w:rFonts w:ascii="Calibri" w:hAnsi="Calibri" w:cs="Calibri"/>
                <w:color w:val="000000"/>
                <w:sz w:val="24"/>
                <w:szCs w:val="24"/>
              </w:rPr>
              <w:t>25.5%</w:t>
            </w:r>
          </w:p>
        </w:tc>
      </w:tr>
      <w:tr w:rsidR="00BD594E" w:rsidRPr="00580BD2" w14:paraId="694D94CB" w14:textId="77777777" w:rsidTr="007F3686">
        <w:trPr>
          <w:trHeight w:val="364"/>
        </w:trPr>
        <w:tc>
          <w:tcPr>
            <w:tcW w:w="2407" w:type="dxa"/>
            <w:shd w:val="clear" w:color="auto" w:fill="auto"/>
            <w:vAlign w:val="center"/>
          </w:tcPr>
          <w:p w14:paraId="7BF3F6D7" w14:textId="77777777" w:rsidR="00BD594E" w:rsidRPr="00580BD2" w:rsidRDefault="00BD594E" w:rsidP="00BD594E">
            <w:pPr>
              <w:spacing w:after="0" w:line="240" w:lineRule="auto"/>
              <w:rPr>
                <w:rFonts w:eastAsia="Times New Roman" w:cs="Arial"/>
                <w:color w:val="000000"/>
                <w:sz w:val="24"/>
                <w:szCs w:val="24"/>
                <w:lang w:eastAsia="en-GB"/>
              </w:rPr>
            </w:pPr>
            <w:r w:rsidRPr="00580BD2">
              <w:rPr>
                <w:rFonts w:eastAsia="Times New Roman" w:cs="Arial"/>
                <w:color w:val="000000"/>
                <w:sz w:val="24"/>
                <w:szCs w:val="24"/>
                <w:lang w:eastAsia="en-GB"/>
              </w:rPr>
              <w:t>Mixed Ethnicity</w:t>
            </w:r>
          </w:p>
        </w:tc>
        <w:tc>
          <w:tcPr>
            <w:tcW w:w="1274" w:type="dxa"/>
            <w:vAlign w:val="center"/>
          </w:tcPr>
          <w:p w14:paraId="5951A0F2"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73</w:t>
            </w:r>
          </w:p>
        </w:tc>
        <w:tc>
          <w:tcPr>
            <w:tcW w:w="1701" w:type="dxa"/>
            <w:vAlign w:val="center"/>
          </w:tcPr>
          <w:p w14:paraId="2B985415"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26.3%</w:t>
            </w:r>
          </w:p>
        </w:tc>
        <w:tc>
          <w:tcPr>
            <w:tcW w:w="2126" w:type="dxa"/>
            <w:vAlign w:val="center"/>
          </w:tcPr>
          <w:p w14:paraId="0DDE8040" w14:textId="77777777" w:rsidR="00BD594E" w:rsidRPr="005C7A29" w:rsidRDefault="00BD594E" w:rsidP="00BD594E">
            <w:pPr>
              <w:spacing w:after="0" w:line="240" w:lineRule="auto"/>
              <w:jc w:val="right"/>
              <w:rPr>
                <w:rFonts w:ascii="Calibri" w:hAnsi="Calibri" w:cs="Calibri"/>
                <w:color w:val="000000"/>
                <w:sz w:val="24"/>
                <w:szCs w:val="24"/>
              </w:rPr>
            </w:pPr>
            <w:r w:rsidRPr="00313B6C">
              <w:rPr>
                <w:rFonts w:ascii="Calibri" w:hAnsi="Calibri" w:cs="Calibri"/>
                <w:color w:val="000000"/>
                <w:sz w:val="24"/>
                <w:szCs w:val="24"/>
              </w:rPr>
              <w:t>2,448</w:t>
            </w:r>
          </w:p>
        </w:tc>
        <w:tc>
          <w:tcPr>
            <w:tcW w:w="1701" w:type="dxa"/>
            <w:vAlign w:val="center"/>
          </w:tcPr>
          <w:p w14:paraId="2BEAC9D4" w14:textId="7DD0CF89" w:rsidR="00BD594E" w:rsidRPr="007F3686" w:rsidRDefault="00BD594E" w:rsidP="00BD594E">
            <w:pPr>
              <w:spacing w:after="0" w:line="240" w:lineRule="auto"/>
              <w:jc w:val="right"/>
              <w:rPr>
                <w:rFonts w:eastAsia="Times New Roman" w:cs="Arial"/>
                <w:color w:val="000000"/>
                <w:sz w:val="24"/>
                <w:szCs w:val="24"/>
                <w:lang w:eastAsia="en-GB"/>
              </w:rPr>
            </w:pPr>
            <w:r w:rsidRPr="007F3686">
              <w:rPr>
                <w:rFonts w:ascii="Calibri" w:hAnsi="Calibri" w:cs="Calibri"/>
                <w:color w:val="000000"/>
                <w:sz w:val="24"/>
                <w:szCs w:val="24"/>
              </w:rPr>
              <w:t>9.1%</w:t>
            </w:r>
          </w:p>
        </w:tc>
      </w:tr>
      <w:tr w:rsidR="00BD594E" w:rsidRPr="00580BD2" w14:paraId="0B061997" w14:textId="77777777" w:rsidTr="007F3686">
        <w:trPr>
          <w:trHeight w:val="364"/>
        </w:trPr>
        <w:tc>
          <w:tcPr>
            <w:tcW w:w="2407" w:type="dxa"/>
            <w:shd w:val="clear" w:color="auto" w:fill="auto"/>
            <w:vAlign w:val="center"/>
          </w:tcPr>
          <w:p w14:paraId="60521439" w14:textId="77777777" w:rsidR="00BD594E" w:rsidRPr="00580BD2" w:rsidRDefault="00BD594E" w:rsidP="00BD594E">
            <w:pPr>
              <w:spacing w:after="0" w:line="240" w:lineRule="auto"/>
              <w:rPr>
                <w:rFonts w:eastAsia="Times New Roman" w:cs="Arial"/>
                <w:color w:val="000000"/>
                <w:sz w:val="24"/>
                <w:szCs w:val="24"/>
                <w:lang w:eastAsia="en-GB"/>
              </w:rPr>
            </w:pPr>
            <w:r w:rsidRPr="00580BD2">
              <w:rPr>
                <w:rFonts w:eastAsia="Times New Roman" w:cs="Arial"/>
                <w:color w:val="000000"/>
                <w:sz w:val="24"/>
                <w:szCs w:val="24"/>
                <w:lang w:eastAsia="en-GB"/>
              </w:rPr>
              <w:t>Black or Black British</w:t>
            </w:r>
          </w:p>
        </w:tc>
        <w:tc>
          <w:tcPr>
            <w:tcW w:w="1274" w:type="dxa"/>
            <w:vAlign w:val="center"/>
          </w:tcPr>
          <w:p w14:paraId="47DEBECD"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20</w:t>
            </w:r>
          </w:p>
        </w:tc>
        <w:tc>
          <w:tcPr>
            <w:tcW w:w="1701" w:type="dxa"/>
            <w:vAlign w:val="center"/>
          </w:tcPr>
          <w:p w14:paraId="474A8E1F"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7.2%</w:t>
            </w:r>
          </w:p>
        </w:tc>
        <w:tc>
          <w:tcPr>
            <w:tcW w:w="2126" w:type="dxa"/>
            <w:vAlign w:val="center"/>
          </w:tcPr>
          <w:p w14:paraId="123B1853" w14:textId="77777777" w:rsidR="00BD594E" w:rsidRPr="005C7A29" w:rsidRDefault="00BD594E" w:rsidP="00BD594E">
            <w:pPr>
              <w:spacing w:after="0" w:line="240" w:lineRule="auto"/>
              <w:jc w:val="right"/>
              <w:rPr>
                <w:rFonts w:ascii="Calibri" w:hAnsi="Calibri" w:cs="Calibri"/>
                <w:color w:val="000000"/>
                <w:sz w:val="24"/>
                <w:szCs w:val="24"/>
              </w:rPr>
            </w:pPr>
            <w:r w:rsidRPr="00313B6C">
              <w:rPr>
                <w:rFonts w:ascii="Calibri" w:hAnsi="Calibri" w:cs="Calibri"/>
                <w:color w:val="000000"/>
                <w:sz w:val="24"/>
                <w:szCs w:val="24"/>
              </w:rPr>
              <w:t>1,904</w:t>
            </w:r>
          </w:p>
        </w:tc>
        <w:tc>
          <w:tcPr>
            <w:tcW w:w="1701" w:type="dxa"/>
            <w:vAlign w:val="center"/>
          </w:tcPr>
          <w:p w14:paraId="0020F28F" w14:textId="532434B8" w:rsidR="00BD594E" w:rsidRPr="007F3686" w:rsidRDefault="00BD594E" w:rsidP="00BD594E">
            <w:pPr>
              <w:spacing w:after="0" w:line="240" w:lineRule="auto"/>
              <w:jc w:val="right"/>
              <w:rPr>
                <w:rFonts w:eastAsia="Times New Roman" w:cs="Arial"/>
                <w:color w:val="000000"/>
                <w:sz w:val="24"/>
                <w:szCs w:val="24"/>
                <w:lang w:eastAsia="en-GB"/>
              </w:rPr>
            </w:pPr>
            <w:r w:rsidRPr="007F3686">
              <w:rPr>
                <w:rFonts w:ascii="Calibri" w:hAnsi="Calibri" w:cs="Calibri"/>
                <w:color w:val="000000"/>
                <w:sz w:val="24"/>
                <w:szCs w:val="24"/>
              </w:rPr>
              <w:t>7.1%</w:t>
            </w:r>
          </w:p>
        </w:tc>
      </w:tr>
      <w:tr w:rsidR="00BD594E" w:rsidRPr="00580BD2" w14:paraId="6A71EB34" w14:textId="77777777" w:rsidTr="007F3686">
        <w:trPr>
          <w:trHeight w:val="317"/>
        </w:trPr>
        <w:tc>
          <w:tcPr>
            <w:tcW w:w="2407" w:type="dxa"/>
            <w:shd w:val="clear" w:color="auto" w:fill="auto"/>
            <w:vAlign w:val="center"/>
          </w:tcPr>
          <w:p w14:paraId="04106DD5" w14:textId="77777777" w:rsidR="00BD594E" w:rsidRPr="00580BD2" w:rsidRDefault="00BD594E" w:rsidP="00BD594E">
            <w:pPr>
              <w:spacing w:after="0" w:line="240" w:lineRule="auto"/>
              <w:rPr>
                <w:rFonts w:eastAsia="Times New Roman" w:cs="Arial"/>
                <w:color w:val="000000"/>
                <w:sz w:val="24"/>
                <w:szCs w:val="24"/>
                <w:lang w:eastAsia="en-GB"/>
              </w:rPr>
            </w:pPr>
            <w:r w:rsidRPr="00580BD2">
              <w:rPr>
                <w:rFonts w:eastAsia="Times New Roman" w:cs="Arial"/>
                <w:color w:val="000000"/>
                <w:sz w:val="24"/>
                <w:szCs w:val="24"/>
                <w:lang w:eastAsia="en-GB"/>
              </w:rPr>
              <w:t>Other</w:t>
            </w:r>
          </w:p>
        </w:tc>
        <w:tc>
          <w:tcPr>
            <w:tcW w:w="1274" w:type="dxa"/>
            <w:vAlign w:val="center"/>
          </w:tcPr>
          <w:p w14:paraId="05523A2C"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2</w:t>
            </w:r>
          </w:p>
        </w:tc>
        <w:tc>
          <w:tcPr>
            <w:tcW w:w="1701" w:type="dxa"/>
            <w:vAlign w:val="center"/>
          </w:tcPr>
          <w:p w14:paraId="3E8E5E3D" w14:textId="77777777" w:rsidR="00BD594E" w:rsidRPr="005C7A29" w:rsidRDefault="00BD594E" w:rsidP="00BD594E">
            <w:pPr>
              <w:spacing w:after="0" w:line="240" w:lineRule="auto"/>
              <w:jc w:val="right"/>
              <w:rPr>
                <w:rFonts w:eastAsia="Times New Roman" w:cs="Arial"/>
                <w:color w:val="000000"/>
                <w:sz w:val="24"/>
                <w:szCs w:val="24"/>
                <w:lang w:eastAsia="en-GB"/>
              </w:rPr>
            </w:pPr>
            <w:r w:rsidRPr="005C7A29">
              <w:rPr>
                <w:rFonts w:ascii="Calibri" w:hAnsi="Calibri" w:cs="Calibri"/>
                <w:color w:val="000000"/>
                <w:sz w:val="24"/>
                <w:szCs w:val="24"/>
              </w:rPr>
              <w:t>0.7%</w:t>
            </w:r>
          </w:p>
        </w:tc>
        <w:tc>
          <w:tcPr>
            <w:tcW w:w="2126" w:type="dxa"/>
            <w:vAlign w:val="center"/>
          </w:tcPr>
          <w:p w14:paraId="76C21C32" w14:textId="77777777" w:rsidR="00BD594E" w:rsidRPr="005C7A29" w:rsidRDefault="00BD594E" w:rsidP="00BD594E">
            <w:pPr>
              <w:spacing w:after="0" w:line="240" w:lineRule="auto"/>
              <w:jc w:val="right"/>
              <w:rPr>
                <w:rFonts w:ascii="Calibri" w:hAnsi="Calibri" w:cs="Calibri"/>
                <w:color w:val="000000"/>
                <w:sz w:val="24"/>
                <w:szCs w:val="24"/>
              </w:rPr>
            </w:pPr>
            <w:r w:rsidRPr="00313B6C">
              <w:rPr>
                <w:rFonts w:ascii="Calibri" w:hAnsi="Calibri" w:cs="Calibri"/>
                <w:color w:val="000000"/>
                <w:sz w:val="24"/>
                <w:szCs w:val="24"/>
              </w:rPr>
              <w:t>554</w:t>
            </w:r>
          </w:p>
        </w:tc>
        <w:tc>
          <w:tcPr>
            <w:tcW w:w="1701" w:type="dxa"/>
            <w:vAlign w:val="center"/>
          </w:tcPr>
          <w:p w14:paraId="0FC0971D" w14:textId="4A21938B" w:rsidR="00BD594E" w:rsidRPr="007F3686" w:rsidRDefault="00BD594E" w:rsidP="00BD594E">
            <w:pPr>
              <w:spacing w:after="0" w:line="240" w:lineRule="auto"/>
              <w:jc w:val="right"/>
              <w:rPr>
                <w:rFonts w:eastAsia="Times New Roman" w:cs="Arial"/>
                <w:color w:val="000000"/>
                <w:sz w:val="24"/>
                <w:szCs w:val="24"/>
                <w:lang w:eastAsia="en-GB"/>
              </w:rPr>
            </w:pPr>
            <w:r w:rsidRPr="007F3686">
              <w:rPr>
                <w:rFonts w:ascii="Calibri" w:hAnsi="Calibri" w:cs="Calibri"/>
                <w:color w:val="000000"/>
                <w:sz w:val="24"/>
                <w:szCs w:val="24"/>
              </w:rPr>
              <w:t>2.1%</w:t>
            </w:r>
          </w:p>
        </w:tc>
      </w:tr>
    </w:tbl>
    <w:bookmarkEnd w:id="29"/>
    <w:p w14:paraId="2F592885" w14:textId="37E4C368" w:rsidR="00003903" w:rsidRPr="00580BD2" w:rsidRDefault="00003903" w:rsidP="00003903">
      <w:pPr>
        <w:rPr>
          <w:rFonts w:cs="Arial"/>
          <w:sz w:val="24"/>
          <w:szCs w:val="24"/>
        </w:rPr>
      </w:pPr>
      <w:r w:rsidRPr="00580BD2">
        <w:rPr>
          <w:rFonts w:cs="Arial"/>
          <w:b/>
          <w:sz w:val="24"/>
          <w:szCs w:val="24"/>
        </w:rPr>
        <w:t xml:space="preserve">Table </w:t>
      </w:r>
      <w:r>
        <w:rPr>
          <w:rFonts w:cs="Arial"/>
          <w:b/>
          <w:sz w:val="24"/>
          <w:szCs w:val="24"/>
        </w:rPr>
        <w:t>3.1</w:t>
      </w:r>
      <w:r w:rsidR="00D05BB1">
        <w:rPr>
          <w:rFonts w:cs="Arial"/>
          <w:b/>
          <w:sz w:val="24"/>
          <w:szCs w:val="24"/>
        </w:rPr>
        <w:t>1</w:t>
      </w:r>
      <w:r w:rsidRPr="001F5ADC">
        <w:rPr>
          <w:rFonts w:cs="Arial"/>
          <w:b/>
          <w:sz w:val="24"/>
          <w:szCs w:val="24"/>
        </w:rPr>
        <w:t>: C</w:t>
      </w:r>
      <w:r w:rsidRPr="001F5ADC">
        <w:rPr>
          <w:rFonts w:cstheme="majorHAnsi"/>
          <w:b/>
          <w:sz w:val="24"/>
          <w:szCs w:val="24"/>
        </w:rPr>
        <w:t>hildren in Care</w:t>
      </w:r>
      <w:r w:rsidRPr="00580BD2">
        <w:rPr>
          <w:rFonts w:cs="Arial"/>
          <w:b/>
          <w:sz w:val="24"/>
          <w:szCs w:val="24"/>
        </w:rPr>
        <w:t xml:space="preserve"> </w:t>
      </w:r>
      <w:r>
        <w:rPr>
          <w:rFonts w:cs="Arial"/>
          <w:b/>
          <w:sz w:val="24"/>
          <w:szCs w:val="24"/>
        </w:rPr>
        <w:t xml:space="preserve">(aged 0-5) </w:t>
      </w:r>
      <w:r w:rsidRPr="00580BD2">
        <w:rPr>
          <w:rFonts w:cs="Arial"/>
          <w:b/>
          <w:sz w:val="24"/>
          <w:szCs w:val="24"/>
        </w:rPr>
        <w:t xml:space="preserve">by </w:t>
      </w:r>
      <w:r>
        <w:rPr>
          <w:rFonts w:cs="Arial"/>
          <w:b/>
          <w:sz w:val="24"/>
          <w:szCs w:val="24"/>
        </w:rPr>
        <w:t>Ethnicity</w:t>
      </w:r>
      <w:r w:rsidRPr="00580BD2">
        <w:rPr>
          <w:rFonts w:cs="Arial"/>
          <w:b/>
          <w:sz w:val="24"/>
          <w:szCs w:val="24"/>
        </w:rPr>
        <w:t xml:space="preserve"> </w:t>
      </w:r>
      <w:r>
        <w:rPr>
          <w:rFonts w:cs="Arial"/>
          <w:b/>
          <w:sz w:val="24"/>
          <w:szCs w:val="24"/>
        </w:rPr>
        <w:t>31</w:t>
      </w:r>
      <w:r w:rsidRPr="00096A32">
        <w:rPr>
          <w:rFonts w:cs="Arial"/>
          <w:b/>
          <w:sz w:val="24"/>
          <w:szCs w:val="24"/>
          <w:vertAlign w:val="superscript"/>
        </w:rPr>
        <w:t>st</w:t>
      </w:r>
      <w:r>
        <w:rPr>
          <w:rFonts w:cs="Arial"/>
          <w:b/>
          <w:sz w:val="24"/>
          <w:szCs w:val="24"/>
        </w:rPr>
        <w:t xml:space="preserve"> March 2019</w:t>
      </w:r>
    </w:p>
    <w:p w14:paraId="0A744F1C" w14:textId="77777777" w:rsidR="00003903" w:rsidRPr="00580BD2" w:rsidRDefault="00003903" w:rsidP="00003903">
      <w:pPr>
        <w:rPr>
          <w:rFonts w:cs="Arial"/>
          <w:sz w:val="24"/>
          <w:szCs w:val="24"/>
        </w:rPr>
      </w:pPr>
      <w:r>
        <w:rPr>
          <w:rFonts w:cs="Arial"/>
          <w:sz w:val="24"/>
          <w:szCs w:val="24"/>
        </w:rPr>
        <w:t xml:space="preserve">Source: </w:t>
      </w:r>
      <w:r w:rsidRPr="0064057C">
        <w:rPr>
          <w:sz w:val="24"/>
          <w:szCs w:val="24"/>
        </w:rPr>
        <w:t>Sandwell Children’s Trust</w:t>
      </w:r>
    </w:p>
    <w:p w14:paraId="2B0BA204" w14:textId="77777777" w:rsidR="00003903" w:rsidRPr="009C5B0D" w:rsidRDefault="00003903" w:rsidP="00003903">
      <w:pPr>
        <w:pStyle w:val="ListParagraph"/>
        <w:ind w:left="0"/>
        <w:rPr>
          <w:rFonts w:cstheme="majorHAnsi"/>
          <w:b/>
          <w:sz w:val="24"/>
          <w:szCs w:val="24"/>
        </w:rPr>
      </w:pPr>
      <w:r w:rsidRPr="009C5B0D">
        <w:rPr>
          <w:rFonts w:cstheme="majorHAnsi"/>
          <w:b/>
          <w:sz w:val="24"/>
          <w:szCs w:val="24"/>
        </w:rPr>
        <w:t>Figure</w:t>
      </w:r>
      <w:r>
        <w:rPr>
          <w:rFonts w:cstheme="majorHAnsi"/>
          <w:b/>
          <w:sz w:val="24"/>
          <w:szCs w:val="24"/>
        </w:rPr>
        <w:t xml:space="preserve"> 3.9</w:t>
      </w:r>
      <w:r w:rsidRPr="009C5B0D">
        <w:rPr>
          <w:rFonts w:cstheme="majorHAnsi"/>
          <w:b/>
          <w:sz w:val="24"/>
          <w:szCs w:val="24"/>
        </w:rPr>
        <w:t xml:space="preserve">: Children in Care </w:t>
      </w:r>
      <w:r>
        <w:rPr>
          <w:rFonts w:cstheme="majorHAnsi"/>
          <w:b/>
          <w:sz w:val="24"/>
          <w:szCs w:val="24"/>
        </w:rPr>
        <w:t xml:space="preserve">(aged 0-5) </w:t>
      </w:r>
      <w:r w:rsidRPr="009C5B0D">
        <w:rPr>
          <w:rFonts w:cstheme="majorHAnsi"/>
          <w:b/>
          <w:sz w:val="24"/>
          <w:szCs w:val="24"/>
        </w:rPr>
        <w:t xml:space="preserve">by Town </w:t>
      </w:r>
      <w:r>
        <w:rPr>
          <w:rFonts w:cstheme="majorHAnsi"/>
          <w:b/>
          <w:sz w:val="24"/>
          <w:szCs w:val="24"/>
        </w:rPr>
        <w:t>March</w:t>
      </w:r>
      <w:r w:rsidRPr="009C5B0D">
        <w:rPr>
          <w:rFonts w:cstheme="majorHAnsi"/>
          <w:b/>
          <w:sz w:val="24"/>
          <w:szCs w:val="24"/>
        </w:rPr>
        <w:t xml:space="preserve"> 2019</w:t>
      </w:r>
    </w:p>
    <w:p w14:paraId="785339CF" w14:textId="77841067" w:rsidR="00003903" w:rsidRDefault="004C5B8A" w:rsidP="00003903">
      <w:pPr>
        <w:pStyle w:val="ListParagraph"/>
        <w:ind w:left="0"/>
        <w:rPr>
          <w:rFonts w:cstheme="majorHAnsi"/>
          <w:sz w:val="24"/>
          <w:szCs w:val="24"/>
          <w:u w:val="single"/>
        </w:rPr>
      </w:pPr>
      <w:r>
        <w:rPr>
          <w:noProof/>
        </w:rPr>
        <w:drawing>
          <wp:inline distT="0" distB="0" distL="0" distR="0" wp14:anchorId="2076411F" wp14:editId="6F9BED6E">
            <wp:extent cx="5133975" cy="3152775"/>
            <wp:effectExtent l="0" t="0" r="9525" b="9525"/>
            <wp:docPr id="197" name="Chart 197">
              <a:extLst xmlns:a="http://schemas.openxmlformats.org/drawingml/2006/main">
                <a:ext uri="{FF2B5EF4-FFF2-40B4-BE49-F238E27FC236}">
                  <a16:creationId xmlns:a16="http://schemas.microsoft.com/office/drawing/2014/main" id="{74F492C5-344A-4417-9CBF-E2AED02CB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BDDA98B" w14:textId="77777777" w:rsidR="00003903" w:rsidRPr="009C5B0D" w:rsidRDefault="00003903" w:rsidP="00003903">
      <w:pPr>
        <w:pStyle w:val="ListParagraph"/>
        <w:ind w:left="0"/>
        <w:rPr>
          <w:rFonts w:cstheme="majorHAnsi"/>
          <w:sz w:val="24"/>
          <w:szCs w:val="24"/>
        </w:rPr>
      </w:pPr>
      <w:r w:rsidRPr="009C5B0D">
        <w:rPr>
          <w:rFonts w:cstheme="majorHAnsi"/>
          <w:sz w:val="24"/>
          <w:szCs w:val="24"/>
        </w:rPr>
        <w:t>Source: Sandwell Children’s Trust</w:t>
      </w:r>
    </w:p>
    <w:p w14:paraId="71BE1056" w14:textId="77777777" w:rsidR="00003903" w:rsidRDefault="00003903" w:rsidP="00003903">
      <w:pPr>
        <w:spacing w:line="276" w:lineRule="auto"/>
        <w:rPr>
          <w:rFonts w:cs="Arial"/>
          <w:sz w:val="24"/>
          <w:szCs w:val="24"/>
        </w:rPr>
      </w:pPr>
    </w:p>
    <w:p w14:paraId="2385A117" w14:textId="16F3474E" w:rsidR="00003903" w:rsidRPr="003F265A" w:rsidRDefault="00003903" w:rsidP="00003903">
      <w:pPr>
        <w:spacing w:line="276" w:lineRule="auto"/>
        <w:rPr>
          <w:rFonts w:cs="Arial"/>
          <w:sz w:val="24"/>
          <w:szCs w:val="24"/>
        </w:rPr>
      </w:pPr>
      <w:r>
        <w:rPr>
          <w:rFonts w:cs="Arial"/>
          <w:sz w:val="24"/>
          <w:szCs w:val="24"/>
        </w:rPr>
        <w:t>Considering the geographical spread of children in care (based on the home address prior to being moved into care), Tipton town has the highest rate of children in care, at 12</w:t>
      </w:r>
      <w:r w:rsidR="004C5B8A">
        <w:rPr>
          <w:rFonts w:cs="Arial"/>
          <w:sz w:val="24"/>
          <w:szCs w:val="24"/>
        </w:rPr>
        <w:t>8</w:t>
      </w:r>
      <w:r>
        <w:rPr>
          <w:rFonts w:cs="Arial"/>
          <w:sz w:val="24"/>
          <w:szCs w:val="24"/>
        </w:rPr>
        <w:t>.</w:t>
      </w:r>
      <w:r w:rsidR="004C5B8A">
        <w:rPr>
          <w:rFonts w:cs="Arial"/>
          <w:sz w:val="24"/>
          <w:szCs w:val="24"/>
        </w:rPr>
        <w:t>2</w:t>
      </w:r>
      <w:r>
        <w:rPr>
          <w:rFonts w:cs="Arial"/>
          <w:sz w:val="24"/>
          <w:szCs w:val="24"/>
        </w:rPr>
        <w:t xml:space="preserve"> per 10,000 in March 2019. West Bromwich and Rowley Regis also have rates above the Sandwell average (100.</w:t>
      </w:r>
      <w:r w:rsidR="004C5B8A">
        <w:rPr>
          <w:rFonts w:cs="Arial"/>
          <w:sz w:val="24"/>
          <w:szCs w:val="24"/>
        </w:rPr>
        <w:t>5</w:t>
      </w:r>
      <w:r>
        <w:rPr>
          <w:rFonts w:cs="Arial"/>
          <w:sz w:val="24"/>
          <w:szCs w:val="24"/>
        </w:rPr>
        <w:t xml:space="preserve"> and 9</w:t>
      </w:r>
      <w:r w:rsidR="004C5B8A">
        <w:rPr>
          <w:rFonts w:cs="Arial"/>
          <w:sz w:val="24"/>
          <w:szCs w:val="24"/>
        </w:rPr>
        <w:t>8.4</w:t>
      </w:r>
      <w:r>
        <w:rPr>
          <w:rFonts w:cs="Arial"/>
          <w:sz w:val="24"/>
          <w:szCs w:val="24"/>
        </w:rPr>
        <w:t xml:space="preserve"> per 10,000 respectively</w:t>
      </w:r>
      <w:r w:rsidRPr="003F265A">
        <w:rPr>
          <w:rFonts w:cs="Arial"/>
          <w:sz w:val="24"/>
          <w:szCs w:val="24"/>
        </w:rPr>
        <w:t>). At a ward level, the highest rates are in Tividale and Charlemont with Grove Vale, whilst the lowest are in Wednesbury North and Friar Park.</w:t>
      </w:r>
    </w:p>
    <w:p w14:paraId="5881ADEB" w14:textId="77777777" w:rsidR="00003903" w:rsidRDefault="00003903" w:rsidP="00003903"/>
    <w:p w14:paraId="2A37E396" w14:textId="6E771F6C" w:rsidR="0020360F" w:rsidRDefault="0020360F" w:rsidP="0020360F">
      <w:pPr>
        <w:pStyle w:val="Heading3"/>
      </w:pPr>
      <w:r>
        <w:t>Educational Attainment of Children in Care</w:t>
      </w:r>
    </w:p>
    <w:p w14:paraId="19A2D47A" w14:textId="763E2D6D" w:rsidR="006F2543" w:rsidRPr="00E0574A" w:rsidRDefault="0020360F" w:rsidP="006F2543">
      <w:pPr>
        <w:spacing w:before="60" w:line="240" w:lineRule="auto"/>
        <w:ind w:right="-472"/>
        <w:rPr>
          <w:rFonts w:cstheme="minorHAnsi"/>
          <w:sz w:val="24"/>
          <w:szCs w:val="24"/>
        </w:rPr>
      </w:pPr>
      <w:r>
        <w:rPr>
          <w:rFonts w:cstheme="minorHAnsi"/>
          <w:sz w:val="24"/>
          <w:szCs w:val="24"/>
        </w:rPr>
        <w:t>I</w:t>
      </w:r>
      <w:r w:rsidR="006F2543" w:rsidRPr="006C7196">
        <w:rPr>
          <w:rFonts w:cstheme="minorHAnsi"/>
          <w:sz w:val="24"/>
          <w:szCs w:val="24"/>
        </w:rPr>
        <w:t xml:space="preserve">n 2018/19 there were 12 children in the </w:t>
      </w:r>
      <w:r w:rsidR="006F2543">
        <w:rPr>
          <w:rFonts w:cstheme="minorHAnsi"/>
          <w:sz w:val="24"/>
          <w:szCs w:val="24"/>
        </w:rPr>
        <w:t xml:space="preserve">EYFS (Early Years Foundation Stage) </w:t>
      </w:r>
      <w:r w:rsidR="006F2543" w:rsidRPr="006C7196">
        <w:rPr>
          <w:rFonts w:cstheme="minorHAnsi"/>
          <w:sz w:val="24"/>
          <w:szCs w:val="24"/>
        </w:rPr>
        <w:t>cohort</w:t>
      </w:r>
      <w:r>
        <w:rPr>
          <w:rFonts w:cstheme="minorHAnsi"/>
          <w:sz w:val="24"/>
          <w:szCs w:val="24"/>
        </w:rPr>
        <w:t xml:space="preserve"> in Sandwell</w:t>
      </w:r>
      <w:r w:rsidR="006F2543" w:rsidRPr="006C7196">
        <w:rPr>
          <w:rFonts w:cstheme="minorHAnsi"/>
          <w:sz w:val="24"/>
          <w:szCs w:val="24"/>
        </w:rPr>
        <w:t xml:space="preserve">. Of this cohort 4 children (33%) had a SEN EHCP/Statement or SEN support. </w:t>
      </w:r>
      <w:r w:rsidR="006F2543" w:rsidRPr="00E0574A">
        <w:rPr>
          <w:rFonts w:cstheme="minorHAnsi"/>
          <w:sz w:val="24"/>
          <w:szCs w:val="24"/>
        </w:rPr>
        <w:t xml:space="preserve">Attainment outcomes have risen </w:t>
      </w:r>
      <w:r w:rsidR="006F2543">
        <w:rPr>
          <w:rFonts w:cstheme="minorHAnsi"/>
          <w:sz w:val="24"/>
          <w:szCs w:val="24"/>
        </w:rPr>
        <w:t>since</w:t>
      </w:r>
      <w:r w:rsidR="006F2543" w:rsidRPr="00E0574A">
        <w:rPr>
          <w:rFonts w:cstheme="minorHAnsi"/>
          <w:sz w:val="24"/>
          <w:szCs w:val="24"/>
        </w:rPr>
        <w:t xml:space="preserve"> 2017/18</w:t>
      </w:r>
      <w:r w:rsidR="006F2543">
        <w:rPr>
          <w:rFonts w:cstheme="minorHAnsi"/>
          <w:sz w:val="24"/>
          <w:szCs w:val="24"/>
        </w:rPr>
        <w:t>,</w:t>
      </w:r>
      <w:r w:rsidR="006F2543" w:rsidRPr="00E0574A">
        <w:rPr>
          <w:rFonts w:cstheme="minorHAnsi"/>
          <w:sz w:val="24"/>
          <w:szCs w:val="24"/>
        </w:rPr>
        <w:t xml:space="preserve"> with the percentage of children achieving Good Levels of Development rising by 15</w:t>
      </w:r>
      <w:r w:rsidR="006F2543">
        <w:rPr>
          <w:rFonts w:cstheme="minorHAnsi"/>
          <w:sz w:val="24"/>
          <w:szCs w:val="24"/>
        </w:rPr>
        <w:t xml:space="preserve"> percentage points</w:t>
      </w:r>
      <w:r w:rsidR="006F2543" w:rsidRPr="00E0574A">
        <w:rPr>
          <w:rFonts w:cstheme="minorHAnsi"/>
          <w:sz w:val="24"/>
          <w:szCs w:val="24"/>
        </w:rPr>
        <w:t xml:space="preserve"> to 58%; with sharp increases in children’s Literacy and Maths skills.</w:t>
      </w:r>
    </w:p>
    <w:p w14:paraId="16BDF8FB" w14:textId="77777777" w:rsidR="006F2543" w:rsidRDefault="006F2543" w:rsidP="006F2543">
      <w:pPr>
        <w:rPr>
          <w:rFonts w:cstheme="minorHAnsi"/>
          <w:b/>
          <w:sz w:val="24"/>
          <w:szCs w:val="24"/>
        </w:rPr>
      </w:pPr>
      <w:r w:rsidRPr="00E0574A">
        <w:rPr>
          <w:rFonts w:cstheme="minorHAnsi"/>
          <w:sz w:val="24"/>
          <w:szCs w:val="24"/>
        </w:rPr>
        <w:t>Sandwell</w:t>
      </w:r>
      <w:r>
        <w:rPr>
          <w:rFonts w:cstheme="minorHAnsi"/>
          <w:sz w:val="24"/>
          <w:szCs w:val="24"/>
        </w:rPr>
        <w:t>’s children in care</w:t>
      </w:r>
      <w:r w:rsidRPr="00E0574A">
        <w:rPr>
          <w:rFonts w:cstheme="minorHAnsi"/>
          <w:sz w:val="24"/>
          <w:szCs w:val="24"/>
        </w:rPr>
        <w:t xml:space="preserve"> cohort are rapidly closing the attainment gap to All Sandwell and National All pupils. Now only 9</w:t>
      </w:r>
      <w:r>
        <w:rPr>
          <w:rFonts w:cstheme="minorHAnsi"/>
          <w:sz w:val="24"/>
          <w:szCs w:val="24"/>
        </w:rPr>
        <w:t xml:space="preserve"> percentage points below All Sandwell peers</w:t>
      </w:r>
      <w:r w:rsidRPr="00E0574A">
        <w:rPr>
          <w:rFonts w:cstheme="minorHAnsi"/>
          <w:sz w:val="24"/>
          <w:szCs w:val="24"/>
        </w:rPr>
        <w:t xml:space="preserve"> (28</w:t>
      </w:r>
      <w:r>
        <w:rPr>
          <w:rFonts w:cstheme="minorHAnsi"/>
          <w:sz w:val="24"/>
          <w:szCs w:val="24"/>
        </w:rPr>
        <w:t xml:space="preserve"> pp below </w:t>
      </w:r>
      <w:r w:rsidRPr="00E0574A">
        <w:rPr>
          <w:rFonts w:cstheme="minorHAnsi"/>
          <w:sz w:val="24"/>
          <w:szCs w:val="24"/>
        </w:rPr>
        <w:t>in 2017) and 14</w:t>
      </w:r>
      <w:r>
        <w:rPr>
          <w:rFonts w:cstheme="minorHAnsi"/>
          <w:sz w:val="24"/>
          <w:szCs w:val="24"/>
        </w:rPr>
        <w:t xml:space="preserve"> percentage points below All national peers</w:t>
      </w:r>
      <w:r w:rsidRPr="00E0574A">
        <w:rPr>
          <w:rFonts w:cstheme="minorHAnsi"/>
          <w:sz w:val="24"/>
          <w:szCs w:val="24"/>
        </w:rPr>
        <w:t xml:space="preserve"> (35</w:t>
      </w:r>
      <w:r>
        <w:rPr>
          <w:rFonts w:cstheme="minorHAnsi"/>
          <w:sz w:val="24"/>
          <w:szCs w:val="24"/>
        </w:rPr>
        <w:t xml:space="preserve"> pp below in</w:t>
      </w:r>
      <w:r w:rsidRPr="00E0574A">
        <w:rPr>
          <w:rFonts w:cstheme="minorHAnsi"/>
          <w:sz w:val="24"/>
          <w:szCs w:val="24"/>
        </w:rPr>
        <w:t xml:space="preserve"> 2017)</w:t>
      </w:r>
      <w:r>
        <w:rPr>
          <w:rFonts w:cstheme="minorHAnsi"/>
          <w:sz w:val="24"/>
          <w:szCs w:val="24"/>
        </w:rPr>
        <w:t>.</w:t>
      </w:r>
    </w:p>
    <w:p w14:paraId="1105728E" w14:textId="77777777" w:rsidR="006F2543" w:rsidRPr="004D4550" w:rsidRDefault="006F2543" w:rsidP="006F2543">
      <w:pPr>
        <w:spacing w:before="60" w:line="240" w:lineRule="auto"/>
        <w:ind w:right="-472"/>
        <w:rPr>
          <w:rFonts w:cstheme="minorHAnsi"/>
          <w:sz w:val="24"/>
          <w:szCs w:val="24"/>
        </w:rPr>
      </w:pPr>
      <w:r>
        <w:rPr>
          <w:rFonts w:cstheme="minorHAnsi"/>
          <w:sz w:val="24"/>
          <w:szCs w:val="24"/>
        </w:rPr>
        <w:t>At Key Stage 1, i</w:t>
      </w:r>
      <w:r w:rsidRPr="006C7196">
        <w:rPr>
          <w:rFonts w:cstheme="minorHAnsi"/>
          <w:sz w:val="24"/>
          <w:szCs w:val="24"/>
        </w:rPr>
        <w:t>n 2018/19 there were 26 children in the cohort. Of this cohort 10 (38%) children received SEN support.</w:t>
      </w:r>
      <w:r>
        <w:rPr>
          <w:rFonts w:cstheme="minorHAnsi"/>
          <w:sz w:val="24"/>
          <w:szCs w:val="24"/>
        </w:rPr>
        <w:t xml:space="preserve"> </w:t>
      </w:r>
      <w:r w:rsidRPr="004D4550">
        <w:rPr>
          <w:rFonts w:cstheme="minorHAnsi"/>
          <w:sz w:val="24"/>
          <w:szCs w:val="24"/>
        </w:rPr>
        <w:t xml:space="preserve">Although there is still a gap between the attainment of KS1 Sandwell </w:t>
      </w:r>
      <w:r>
        <w:rPr>
          <w:rFonts w:cstheme="minorHAnsi"/>
          <w:sz w:val="24"/>
          <w:szCs w:val="24"/>
        </w:rPr>
        <w:t>CIC</w:t>
      </w:r>
      <w:r w:rsidRPr="004D4550">
        <w:rPr>
          <w:rFonts w:cstheme="minorHAnsi"/>
          <w:sz w:val="24"/>
          <w:szCs w:val="24"/>
        </w:rPr>
        <w:t xml:space="preserve"> and all children nationally</w:t>
      </w:r>
      <w:r>
        <w:rPr>
          <w:rFonts w:cstheme="minorHAnsi"/>
          <w:sz w:val="24"/>
          <w:szCs w:val="24"/>
        </w:rPr>
        <w:t>,</w:t>
      </w:r>
      <w:r w:rsidRPr="004D4550">
        <w:rPr>
          <w:rFonts w:cstheme="minorHAnsi"/>
          <w:sz w:val="24"/>
          <w:szCs w:val="24"/>
        </w:rPr>
        <w:t xml:space="preserve"> </w:t>
      </w:r>
      <w:r>
        <w:rPr>
          <w:rFonts w:cstheme="minorHAnsi"/>
          <w:sz w:val="24"/>
          <w:szCs w:val="24"/>
        </w:rPr>
        <w:t>a</w:t>
      </w:r>
      <w:r w:rsidRPr="004D4550">
        <w:rPr>
          <w:rFonts w:cstheme="minorHAnsi"/>
          <w:sz w:val="24"/>
          <w:szCs w:val="24"/>
        </w:rPr>
        <w:t xml:space="preserve">ttainment outcomes have risen </w:t>
      </w:r>
      <w:r>
        <w:rPr>
          <w:rFonts w:cstheme="minorHAnsi"/>
          <w:sz w:val="24"/>
          <w:szCs w:val="24"/>
        </w:rPr>
        <w:t>since</w:t>
      </w:r>
      <w:r w:rsidRPr="004D4550">
        <w:rPr>
          <w:rFonts w:cstheme="minorHAnsi"/>
          <w:sz w:val="24"/>
          <w:szCs w:val="24"/>
        </w:rPr>
        <w:t xml:space="preserve"> 201</w:t>
      </w:r>
      <w:r>
        <w:rPr>
          <w:rFonts w:cstheme="minorHAnsi"/>
          <w:sz w:val="24"/>
          <w:szCs w:val="24"/>
        </w:rPr>
        <w:t>7/18</w:t>
      </w:r>
      <w:r w:rsidRPr="004D4550">
        <w:rPr>
          <w:rFonts w:cstheme="minorHAnsi"/>
          <w:sz w:val="24"/>
          <w:szCs w:val="24"/>
        </w:rPr>
        <w:t xml:space="preserve"> with the percentage of children achieving the Expected Standard + rising by </w:t>
      </w:r>
      <w:r>
        <w:rPr>
          <w:rFonts w:cstheme="minorHAnsi"/>
          <w:sz w:val="24"/>
          <w:szCs w:val="24"/>
        </w:rPr>
        <w:t>9 percentage points</w:t>
      </w:r>
      <w:r w:rsidRPr="004D4550">
        <w:rPr>
          <w:rFonts w:cstheme="minorHAnsi"/>
          <w:sz w:val="24"/>
          <w:szCs w:val="24"/>
        </w:rPr>
        <w:t xml:space="preserve"> in reading, 13</w:t>
      </w:r>
      <w:r>
        <w:rPr>
          <w:rFonts w:cstheme="minorHAnsi"/>
          <w:sz w:val="24"/>
          <w:szCs w:val="24"/>
        </w:rPr>
        <w:t xml:space="preserve"> </w:t>
      </w:r>
      <w:r w:rsidRPr="004D4550">
        <w:rPr>
          <w:rFonts w:cstheme="minorHAnsi"/>
          <w:sz w:val="24"/>
          <w:szCs w:val="24"/>
        </w:rPr>
        <w:t xml:space="preserve">in Writing and 21 in Maths. </w:t>
      </w:r>
    </w:p>
    <w:p w14:paraId="19085C00" w14:textId="77777777" w:rsidR="006F2543" w:rsidRDefault="006F2543" w:rsidP="006F2543">
      <w:pPr>
        <w:spacing w:before="60" w:after="60" w:line="276" w:lineRule="auto"/>
        <w:ind w:right="-472"/>
        <w:rPr>
          <w:rFonts w:cstheme="minorHAnsi"/>
          <w:sz w:val="24"/>
          <w:szCs w:val="24"/>
        </w:rPr>
      </w:pPr>
      <w:r w:rsidRPr="004D4550">
        <w:rPr>
          <w:rFonts w:cstheme="minorHAnsi"/>
          <w:sz w:val="24"/>
          <w:szCs w:val="24"/>
        </w:rPr>
        <w:t xml:space="preserve"> </w:t>
      </w:r>
    </w:p>
    <w:p w14:paraId="70BE1821" w14:textId="168B8D51" w:rsidR="006F2543" w:rsidRDefault="006F2543" w:rsidP="006F2543">
      <w:pPr>
        <w:spacing w:before="60" w:after="60" w:line="276" w:lineRule="auto"/>
        <w:ind w:right="-472"/>
        <w:rPr>
          <w:rFonts w:cstheme="minorHAnsi"/>
          <w:b/>
          <w:sz w:val="24"/>
          <w:szCs w:val="24"/>
        </w:rPr>
      </w:pPr>
      <w:r w:rsidRPr="00713D65">
        <w:rPr>
          <w:rFonts w:cstheme="minorHAnsi"/>
          <w:b/>
          <w:sz w:val="24"/>
          <w:szCs w:val="24"/>
        </w:rPr>
        <w:t>Table 3.</w:t>
      </w:r>
      <w:r>
        <w:rPr>
          <w:rFonts w:cstheme="minorHAnsi"/>
          <w:b/>
          <w:sz w:val="24"/>
          <w:szCs w:val="24"/>
        </w:rPr>
        <w:t>12</w:t>
      </w:r>
      <w:r w:rsidRPr="00713D65">
        <w:rPr>
          <w:rFonts w:cstheme="minorHAnsi"/>
          <w:b/>
          <w:sz w:val="24"/>
          <w:szCs w:val="24"/>
        </w:rPr>
        <w:t>: KS1 - % of pupils achieving the expected standard or above</w:t>
      </w:r>
    </w:p>
    <w:tbl>
      <w:tblPr>
        <w:tblStyle w:val="TableGrid"/>
        <w:tblW w:w="9498" w:type="dxa"/>
        <w:tblLayout w:type="fixed"/>
        <w:tblLook w:val="04A0" w:firstRow="1" w:lastRow="0" w:firstColumn="1" w:lastColumn="0" w:noHBand="0" w:noVBand="1"/>
      </w:tblPr>
      <w:tblGrid>
        <w:gridCol w:w="1418"/>
        <w:gridCol w:w="992"/>
        <w:gridCol w:w="851"/>
        <w:gridCol w:w="850"/>
        <w:gridCol w:w="851"/>
        <w:gridCol w:w="992"/>
        <w:gridCol w:w="850"/>
        <w:gridCol w:w="851"/>
        <w:gridCol w:w="992"/>
        <w:gridCol w:w="851"/>
      </w:tblGrid>
      <w:tr w:rsidR="006F2543" w14:paraId="04431433" w14:textId="77777777" w:rsidTr="00D66736">
        <w:trPr>
          <w:trHeight w:hRule="exact" w:val="284"/>
        </w:trPr>
        <w:tc>
          <w:tcPr>
            <w:tcW w:w="1418" w:type="dxa"/>
            <w:vMerge w:val="restart"/>
            <w:tcBorders>
              <w:top w:val="nil"/>
              <w:left w:val="nil"/>
              <w:right w:val="single" w:sz="4" w:space="0" w:color="70AD47" w:themeColor="accent6"/>
            </w:tcBorders>
            <w:tcMar>
              <w:top w:w="0" w:type="dxa"/>
              <w:left w:w="57" w:type="dxa"/>
              <w:bottom w:w="0" w:type="dxa"/>
              <w:right w:w="57" w:type="dxa"/>
            </w:tcMar>
          </w:tcPr>
          <w:p w14:paraId="47B0A9AA" w14:textId="77777777" w:rsidR="006F2543" w:rsidRPr="00681AE3" w:rsidRDefault="006F2543" w:rsidP="00D66736">
            <w:pPr>
              <w:spacing w:before="60" w:after="60" w:line="276" w:lineRule="auto"/>
              <w:ind w:right="-472"/>
              <w:rPr>
                <w:rFonts w:cstheme="minorHAnsi"/>
              </w:rPr>
            </w:pPr>
          </w:p>
        </w:tc>
        <w:tc>
          <w:tcPr>
            <w:tcW w:w="2693" w:type="dxa"/>
            <w:gridSpan w:val="3"/>
            <w:tcBorders>
              <w:top w:val="single" w:sz="4" w:space="0" w:color="70AD47" w:themeColor="accent6"/>
              <w:left w:val="single" w:sz="4" w:space="0" w:color="70AD47" w:themeColor="accent6"/>
              <w:bottom w:val="single" w:sz="4" w:space="0" w:color="70AD47" w:themeColor="accent6"/>
              <w:right w:val="single" w:sz="8" w:space="0" w:color="70AD47" w:themeColor="accent6"/>
            </w:tcBorders>
            <w:shd w:val="clear" w:color="auto" w:fill="D9D9D9" w:themeFill="background1" w:themeFillShade="D9"/>
            <w:tcMar>
              <w:left w:w="57" w:type="dxa"/>
              <w:right w:w="425" w:type="dxa"/>
            </w:tcMar>
          </w:tcPr>
          <w:p w14:paraId="5F69CC60"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Reading</w:t>
            </w:r>
          </w:p>
        </w:tc>
        <w:tc>
          <w:tcPr>
            <w:tcW w:w="2693" w:type="dxa"/>
            <w:gridSpan w:val="3"/>
            <w:tcBorders>
              <w:top w:val="single" w:sz="2" w:space="0" w:color="70AD47" w:themeColor="accent6"/>
              <w:left w:val="single" w:sz="8" w:space="0" w:color="70AD47" w:themeColor="accent6"/>
              <w:bottom w:val="single" w:sz="2" w:space="0" w:color="70AD47" w:themeColor="accent6"/>
              <w:right w:val="single" w:sz="8" w:space="0" w:color="70AD47" w:themeColor="accent6"/>
            </w:tcBorders>
            <w:shd w:val="clear" w:color="auto" w:fill="D9D9D9" w:themeFill="background1" w:themeFillShade="D9"/>
            <w:tcMar>
              <w:left w:w="57" w:type="dxa"/>
              <w:right w:w="425" w:type="dxa"/>
            </w:tcMar>
          </w:tcPr>
          <w:p w14:paraId="78D2751C"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Writing</w:t>
            </w:r>
          </w:p>
        </w:tc>
        <w:tc>
          <w:tcPr>
            <w:tcW w:w="2694" w:type="dxa"/>
            <w:gridSpan w:val="3"/>
            <w:tcBorders>
              <w:top w:val="single" w:sz="4" w:space="0" w:color="70AD47" w:themeColor="accent6"/>
              <w:left w:val="single" w:sz="8" w:space="0" w:color="70AD47" w:themeColor="accent6"/>
              <w:bottom w:val="single" w:sz="4" w:space="0" w:color="70AD47" w:themeColor="accent6"/>
              <w:right w:val="single" w:sz="4" w:space="0" w:color="70AD47" w:themeColor="accent6"/>
            </w:tcBorders>
            <w:shd w:val="clear" w:color="auto" w:fill="D9D9D9" w:themeFill="background1" w:themeFillShade="D9"/>
            <w:tcMar>
              <w:left w:w="57" w:type="dxa"/>
              <w:right w:w="425" w:type="dxa"/>
            </w:tcMar>
          </w:tcPr>
          <w:p w14:paraId="3CE3A523"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Mathematics</w:t>
            </w:r>
          </w:p>
        </w:tc>
      </w:tr>
      <w:tr w:rsidR="006F2543" w14:paraId="3FAD322E" w14:textId="77777777" w:rsidTr="00D66736">
        <w:trPr>
          <w:trHeight w:hRule="exact" w:val="284"/>
        </w:trPr>
        <w:tc>
          <w:tcPr>
            <w:tcW w:w="1418" w:type="dxa"/>
            <w:vMerge/>
            <w:tcBorders>
              <w:left w:val="nil"/>
              <w:right w:val="single" w:sz="4" w:space="0" w:color="70AD47" w:themeColor="accent6"/>
            </w:tcBorders>
            <w:tcMar>
              <w:top w:w="0" w:type="dxa"/>
              <w:left w:w="57" w:type="dxa"/>
              <w:bottom w:w="0" w:type="dxa"/>
              <w:right w:w="57" w:type="dxa"/>
            </w:tcMar>
          </w:tcPr>
          <w:p w14:paraId="1C6A8BE5" w14:textId="77777777" w:rsidR="006F2543" w:rsidRPr="00681AE3" w:rsidRDefault="006F2543" w:rsidP="00D66736">
            <w:pPr>
              <w:spacing w:before="60" w:after="60" w:line="276" w:lineRule="auto"/>
              <w:ind w:right="-472"/>
              <w:rPr>
                <w:rFonts w:cstheme="minorHAnsi"/>
              </w:rPr>
            </w:pPr>
          </w:p>
        </w:tc>
        <w:tc>
          <w:tcPr>
            <w:tcW w:w="2693" w:type="dxa"/>
            <w:gridSpan w:val="3"/>
            <w:tcBorders>
              <w:top w:val="single" w:sz="4" w:space="0" w:color="70AD47" w:themeColor="accent6"/>
              <w:left w:val="single" w:sz="4" w:space="0" w:color="70AD47" w:themeColor="accent6"/>
              <w:bottom w:val="single" w:sz="4" w:space="0" w:color="70AD47" w:themeColor="accent6"/>
              <w:right w:val="single" w:sz="8" w:space="0" w:color="70AD47" w:themeColor="accent6"/>
            </w:tcBorders>
            <w:shd w:val="clear" w:color="auto" w:fill="D9D9D9" w:themeFill="background1" w:themeFillShade="D9"/>
            <w:tcMar>
              <w:left w:w="57" w:type="dxa"/>
              <w:right w:w="425" w:type="dxa"/>
            </w:tcMar>
          </w:tcPr>
          <w:p w14:paraId="3E859FD7"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Expected +</w:t>
            </w:r>
          </w:p>
        </w:tc>
        <w:tc>
          <w:tcPr>
            <w:tcW w:w="2693" w:type="dxa"/>
            <w:gridSpan w:val="3"/>
            <w:tcBorders>
              <w:top w:val="single" w:sz="2" w:space="0" w:color="70AD47" w:themeColor="accent6"/>
              <w:left w:val="single" w:sz="8" w:space="0" w:color="70AD47" w:themeColor="accent6"/>
              <w:bottom w:val="single" w:sz="2" w:space="0" w:color="70AD47" w:themeColor="accent6"/>
              <w:right w:val="single" w:sz="8" w:space="0" w:color="70AD47" w:themeColor="accent6"/>
            </w:tcBorders>
            <w:shd w:val="clear" w:color="auto" w:fill="D9D9D9" w:themeFill="background1" w:themeFillShade="D9"/>
            <w:tcMar>
              <w:left w:w="57" w:type="dxa"/>
              <w:right w:w="425" w:type="dxa"/>
            </w:tcMar>
          </w:tcPr>
          <w:p w14:paraId="2751D82B"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Expected +</w:t>
            </w:r>
          </w:p>
        </w:tc>
        <w:tc>
          <w:tcPr>
            <w:tcW w:w="2694" w:type="dxa"/>
            <w:gridSpan w:val="3"/>
            <w:tcBorders>
              <w:top w:val="single" w:sz="4" w:space="0" w:color="70AD47" w:themeColor="accent6"/>
              <w:left w:val="single" w:sz="8" w:space="0" w:color="70AD47" w:themeColor="accent6"/>
              <w:bottom w:val="single" w:sz="4" w:space="0" w:color="70AD47" w:themeColor="accent6"/>
              <w:right w:val="single" w:sz="4" w:space="0" w:color="70AD47" w:themeColor="accent6"/>
            </w:tcBorders>
            <w:shd w:val="clear" w:color="auto" w:fill="D9D9D9" w:themeFill="background1" w:themeFillShade="D9"/>
            <w:tcMar>
              <w:left w:w="57" w:type="dxa"/>
              <w:right w:w="425" w:type="dxa"/>
            </w:tcMar>
          </w:tcPr>
          <w:p w14:paraId="09DEB407"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Expected +</w:t>
            </w:r>
          </w:p>
        </w:tc>
      </w:tr>
      <w:tr w:rsidR="006F2543" w14:paraId="04B52BA3" w14:textId="77777777" w:rsidTr="00D66736">
        <w:trPr>
          <w:trHeight w:hRule="exact" w:val="284"/>
        </w:trPr>
        <w:tc>
          <w:tcPr>
            <w:tcW w:w="1418" w:type="dxa"/>
            <w:vMerge/>
            <w:tcBorders>
              <w:left w:val="nil"/>
              <w:bottom w:val="single" w:sz="4" w:space="0" w:color="70AD47" w:themeColor="accent6"/>
              <w:right w:val="single" w:sz="4" w:space="0" w:color="70AD47" w:themeColor="accent6"/>
            </w:tcBorders>
            <w:tcMar>
              <w:top w:w="0" w:type="dxa"/>
              <w:left w:w="57" w:type="dxa"/>
              <w:bottom w:w="0" w:type="dxa"/>
              <w:right w:w="57" w:type="dxa"/>
            </w:tcMar>
          </w:tcPr>
          <w:p w14:paraId="726AED0B" w14:textId="77777777" w:rsidR="006F2543" w:rsidRPr="00681AE3" w:rsidRDefault="006F2543" w:rsidP="00D66736">
            <w:pPr>
              <w:spacing w:before="60" w:after="60" w:line="276" w:lineRule="auto"/>
              <w:ind w:right="-472"/>
              <w:rPr>
                <w:rFonts w:cstheme="minorHAnsi"/>
              </w:rPr>
            </w:pP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D9D9D9" w:themeFill="background1" w:themeFillShade="D9"/>
            <w:tcMar>
              <w:left w:w="57" w:type="dxa"/>
              <w:right w:w="425" w:type="dxa"/>
            </w:tcMar>
          </w:tcPr>
          <w:p w14:paraId="0B14B323"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16/</w:t>
            </w:r>
            <w:r w:rsidRPr="00681AE3">
              <w:rPr>
                <w:rFonts w:cstheme="minorHAnsi"/>
                <w:b/>
              </w:rPr>
              <w:t>17</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D9D9D9" w:themeFill="background1" w:themeFillShade="D9"/>
            <w:tcMar>
              <w:left w:w="57" w:type="dxa"/>
              <w:right w:w="425" w:type="dxa"/>
            </w:tcMar>
          </w:tcPr>
          <w:p w14:paraId="34290E2C"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17/</w:t>
            </w:r>
            <w:r w:rsidRPr="00681AE3">
              <w:rPr>
                <w:rFonts w:cstheme="minorHAnsi"/>
                <w:b/>
              </w:rPr>
              <w:t>18</w:t>
            </w:r>
          </w:p>
        </w:tc>
        <w:tc>
          <w:tcPr>
            <w:tcW w:w="850" w:type="dxa"/>
            <w:tcBorders>
              <w:top w:val="single" w:sz="4" w:space="0" w:color="70AD47" w:themeColor="accent6"/>
              <w:left w:val="single" w:sz="4" w:space="0" w:color="70AD47" w:themeColor="accent6"/>
              <w:bottom w:val="single" w:sz="4" w:space="0" w:color="70AD47" w:themeColor="accent6"/>
              <w:right w:val="single" w:sz="8" w:space="0" w:color="70AD47" w:themeColor="accent6"/>
            </w:tcBorders>
            <w:shd w:val="clear" w:color="auto" w:fill="D9D9D9" w:themeFill="background1" w:themeFillShade="D9"/>
            <w:tcMar>
              <w:left w:w="57" w:type="dxa"/>
              <w:right w:w="425" w:type="dxa"/>
            </w:tcMar>
          </w:tcPr>
          <w:p w14:paraId="26117A43"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18/</w:t>
            </w:r>
            <w:r w:rsidRPr="00681AE3">
              <w:rPr>
                <w:rFonts w:cstheme="minorHAnsi"/>
                <w:b/>
              </w:rPr>
              <w:t>19</w:t>
            </w:r>
          </w:p>
        </w:tc>
        <w:tc>
          <w:tcPr>
            <w:tcW w:w="851" w:type="dxa"/>
            <w:tcBorders>
              <w:top w:val="single" w:sz="2" w:space="0" w:color="70AD47" w:themeColor="accent6"/>
              <w:left w:val="single" w:sz="8" w:space="0" w:color="70AD47" w:themeColor="accent6"/>
              <w:bottom w:val="single" w:sz="2" w:space="0" w:color="70AD47" w:themeColor="accent6"/>
              <w:right w:val="single" w:sz="2" w:space="0" w:color="70AD47" w:themeColor="accent6"/>
            </w:tcBorders>
            <w:shd w:val="clear" w:color="auto" w:fill="D9D9D9" w:themeFill="background1" w:themeFillShade="D9"/>
            <w:tcMar>
              <w:left w:w="57" w:type="dxa"/>
              <w:right w:w="425" w:type="dxa"/>
            </w:tcMar>
          </w:tcPr>
          <w:p w14:paraId="078C32BC"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16/</w:t>
            </w:r>
            <w:r w:rsidRPr="00681AE3">
              <w:rPr>
                <w:rFonts w:cstheme="minorHAnsi"/>
                <w:b/>
              </w:rPr>
              <w:t>17</w:t>
            </w:r>
          </w:p>
        </w:tc>
        <w:tc>
          <w:tcPr>
            <w:tcW w:w="992" w:type="dxa"/>
            <w:tcBorders>
              <w:top w:val="single" w:sz="2" w:space="0" w:color="70AD47" w:themeColor="accent6"/>
              <w:left w:val="single" w:sz="2" w:space="0" w:color="70AD47" w:themeColor="accent6"/>
              <w:bottom w:val="single" w:sz="2" w:space="0" w:color="70AD47" w:themeColor="accent6"/>
              <w:right w:val="single" w:sz="2" w:space="0" w:color="70AD47" w:themeColor="accent6"/>
            </w:tcBorders>
            <w:shd w:val="clear" w:color="auto" w:fill="D9D9D9" w:themeFill="background1" w:themeFillShade="D9"/>
            <w:tcMar>
              <w:left w:w="57" w:type="dxa"/>
              <w:right w:w="425" w:type="dxa"/>
            </w:tcMar>
          </w:tcPr>
          <w:p w14:paraId="28831A55"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17/</w:t>
            </w:r>
            <w:r w:rsidRPr="00681AE3">
              <w:rPr>
                <w:rFonts w:cstheme="minorHAnsi"/>
                <w:b/>
              </w:rPr>
              <w:t>18</w:t>
            </w:r>
          </w:p>
        </w:tc>
        <w:tc>
          <w:tcPr>
            <w:tcW w:w="850" w:type="dxa"/>
            <w:tcBorders>
              <w:top w:val="single" w:sz="2" w:space="0" w:color="70AD47" w:themeColor="accent6"/>
              <w:left w:val="single" w:sz="2" w:space="0" w:color="70AD47" w:themeColor="accent6"/>
              <w:bottom w:val="single" w:sz="2" w:space="0" w:color="70AD47" w:themeColor="accent6"/>
              <w:right w:val="single" w:sz="8" w:space="0" w:color="70AD47" w:themeColor="accent6"/>
            </w:tcBorders>
            <w:shd w:val="clear" w:color="auto" w:fill="D9D9D9" w:themeFill="background1" w:themeFillShade="D9"/>
            <w:tcMar>
              <w:left w:w="57" w:type="dxa"/>
              <w:right w:w="425" w:type="dxa"/>
            </w:tcMar>
          </w:tcPr>
          <w:p w14:paraId="48960605"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18/</w:t>
            </w:r>
            <w:r w:rsidRPr="00681AE3">
              <w:rPr>
                <w:rFonts w:cstheme="minorHAnsi"/>
                <w:b/>
              </w:rPr>
              <w:t>19</w:t>
            </w:r>
          </w:p>
        </w:tc>
        <w:tc>
          <w:tcPr>
            <w:tcW w:w="851" w:type="dxa"/>
            <w:tcBorders>
              <w:top w:val="single" w:sz="4" w:space="0" w:color="70AD47" w:themeColor="accent6"/>
              <w:left w:val="single" w:sz="8" w:space="0" w:color="70AD47" w:themeColor="accent6"/>
              <w:bottom w:val="single" w:sz="4" w:space="0" w:color="70AD47" w:themeColor="accent6"/>
              <w:right w:val="single" w:sz="4" w:space="0" w:color="70AD47" w:themeColor="accent6"/>
            </w:tcBorders>
            <w:shd w:val="clear" w:color="auto" w:fill="D9D9D9" w:themeFill="background1" w:themeFillShade="D9"/>
            <w:tcMar>
              <w:left w:w="57" w:type="dxa"/>
              <w:right w:w="425" w:type="dxa"/>
            </w:tcMar>
          </w:tcPr>
          <w:p w14:paraId="3E71D12C"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16/</w:t>
            </w:r>
            <w:r w:rsidRPr="00681AE3">
              <w:rPr>
                <w:rFonts w:cstheme="minorHAnsi"/>
                <w:b/>
              </w:rPr>
              <w:t>17</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D9D9D9" w:themeFill="background1" w:themeFillShade="D9"/>
            <w:tcMar>
              <w:left w:w="57" w:type="dxa"/>
              <w:right w:w="425" w:type="dxa"/>
            </w:tcMar>
          </w:tcPr>
          <w:p w14:paraId="2F725948"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17/</w:t>
            </w:r>
            <w:r w:rsidRPr="00681AE3">
              <w:rPr>
                <w:rFonts w:cstheme="minorHAnsi"/>
                <w:b/>
              </w:rPr>
              <w:t>18</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D9D9D9" w:themeFill="background1" w:themeFillShade="D9"/>
            <w:tcMar>
              <w:left w:w="57" w:type="dxa"/>
              <w:right w:w="425" w:type="dxa"/>
            </w:tcMar>
          </w:tcPr>
          <w:p w14:paraId="50D7DFE5" w14:textId="77777777" w:rsidR="006F2543" w:rsidRPr="00681AE3" w:rsidRDefault="006F2543" w:rsidP="00D66736">
            <w:pPr>
              <w:spacing w:before="60" w:after="60" w:line="276" w:lineRule="auto"/>
              <w:ind w:right="-472"/>
              <w:jc w:val="center"/>
              <w:rPr>
                <w:rFonts w:cstheme="minorHAnsi"/>
                <w:b/>
              </w:rPr>
            </w:pPr>
            <w:r w:rsidRPr="00681AE3">
              <w:rPr>
                <w:rFonts w:cstheme="minorHAnsi"/>
                <w:b/>
              </w:rPr>
              <w:t>20</w:t>
            </w:r>
            <w:r>
              <w:rPr>
                <w:rFonts w:cstheme="minorHAnsi"/>
                <w:b/>
              </w:rPr>
              <w:t>18/</w:t>
            </w:r>
            <w:r w:rsidRPr="00681AE3">
              <w:rPr>
                <w:rFonts w:cstheme="minorHAnsi"/>
                <w:b/>
              </w:rPr>
              <w:t>19</w:t>
            </w:r>
          </w:p>
        </w:tc>
      </w:tr>
      <w:tr w:rsidR="006F2543" w14:paraId="7CF4D7C5" w14:textId="77777777" w:rsidTr="00D66736">
        <w:trPr>
          <w:trHeight w:hRule="exact" w:val="284"/>
        </w:trPr>
        <w:tc>
          <w:tcPr>
            <w:tcW w:w="141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3557BEB8" w14:textId="77777777" w:rsidR="006F2543" w:rsidRPr="00681AE3" w:rsidRDefault="006F2543" w:rsidP="00D66736">
            <w:pPr>
              <w:spacing w:before="60" w:after="60" w:line="276" w:lineRule="auto"/>
              <w:ind w:right="-472"/>
              <w:rPr>
                <w:rFonts w:cstheme="minorHAnsi"/>
              </w:rPr>
            </w:pPr>
            <w:r w:rsidRPr="00681AE3">
              <w:rPr>
                <w:rFonts w:cstheme="minorHAnsi"/>
              </w:rPr>
              <w:t>CIC Sandwell</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023C5CA8" w14:textId="77777777" w:rsidR="006F2543" w:rsidRPr="00681AE3" w:rsidRDefault="006F2543" w:rsidP="00D66736">
            <w:pPr>
              <w:spacing w:before="60" w:after="60" w:line="276" w:lineRule="auto"/>
              <w:ind w:right="-472"/>
              <w:jc w:val="center"/>
              <w:rPr>
                <w:rFonts w:cstheme="minorHAnsi"/>
              </w:rPr>
            </w:pPr>
            <w:r w:rsidRPr="00681AE3">
              <w:rPr>
                <w:rFonts w:cstheme="minorHAnsi"/>
              </w:rPr>
              <w:t>38</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60BB5B44" w14:textId="77777777" w:rsidR="006F2543" w:rsidRPr="00681AE3" w:rsidRDefault="006F2543" w:rsidP="00D66736">
            <w:pPr>
              <w:spacing w:before="60" w:after="60" w:line="276" w:lineRule="auto"/>
              <w:ind w:right="-472"/>
              <w:jc w:val="center"/>
              <w:rPr>
                <w:rFonts w:cstheme="minorHAnsi"/>
              </w:rPr>
            </w:pPr>
            <w:r w:rsidRPr="00681AE3">
              <w:rPr>
                <w:rFonts w:cstheme="minorHAnsi"/>
              </w:rPr>
              <w:t>41</w:t>
            </w:r>
          </w:p>
        </w:tc>
        <w:tc>
          <w:tcPr>
            <w:tcW w:w="850" w:type="dxa"/>
            <w:tcBorders>
              <w:top w:val="single" w:sz="4" w:space="0" w:color="70AD47" w:themeColor="accent6"/>
              <w:left w:val="single" w:sz="4" w:space="0" w:color="70AD47" w:themeColor="accent6"/>
              <w:bottom w:val="single" w:sz="4" w:space="0" w:color="70AD47" w:themeColor="accent6"/>
              <w:right w:val="single" w:sz="8" w:space="0" w:color="70AD47" w:themeColor="accent6"/>
            </w:tcBorders>
            <w:tcMar>
              <w:top w:w="0" w:type="dxa"/>
              <w:left w:w="57" w:type="dxa"/>
              <w:bottom w:w="0" w:type="dxa"/>
              <w:right w:w="57" w:type="dxa"/>
            </w:tcMar>
          </w:tcPr>
          <w:p w14:paraId="0EA92F6D" w14:textId="77777777" w:rsidR="006F2543" w:rsidRPr="00681AE3" w:rsidRDefault="006F2543" w:rsidP="00D66736">
            <w:pPr>
              <w:spacing w:before="60" w:after="60" w:line="276" w:lineRule="auto"/>
              <w:ind w:right="-472"/>
              <w:jc w:val="center"/>
              <w:rPr>
                <w:rFonts w:cstheme="minorHAnsi"/>
              </w:rPr>
            </w:pPr>
            <w:r w:rsidRPr="00681AE3">
              <w:rPr>
                <w:rFonts w:cstheme="minorHAnsi"/>
              </w:rPr>
              <w:t>50</w:t>
            </w:r>
          </w:p>
        </w:tc>
        <w:tc>
          <w:tcPr>
            <w:tcW w:w="851" w:type="dxa"/>
            <w:tcBorders>
              <w:top w:val="single" w:sz="2" w:space="0" w:color="70AD47" w:themeColor="accent6"/>
              <w:left w:val="single" w:sz="8" w:space="0" w:color="70AD47" w:themeColor="accent6"/>
              <w:bottom w:val="single" w:sz="2" w:space="0" w:color="70AD47" w:themeColor="accent6"/>
              <w:right w:val="single" w:sz="2" w:space="0" w:color="70AD47" w:themeColor="accent6"/>
            </w:tcBorders>
            <w:tcMar>
              <w:top w:w="0" w:type="dxa"/>
              <w:left w:w="57" w:type="dxa"/>
              <w:bottom w:w="0" w:type="dxa"/>
              <w:right w:w="57" w:type="dxa"/>
            </w:tcMar>
          </w:tcPr>
          <w:p w14:paraId="0B8D2C69" w14:textId="77777777" w:rsidR="006F2543" w:rsidRPr="00681AE3" w:rsidRDefault="006F2543" w:rsidP="00D66736">
            <w:pPr>
              <w:spacing w:before="60" w:after="60" w:line="276" w:lineRule="auto"/>
              <w:ind w:right="-472"/>
              <w:jc w:val="center"/>
              <w:rPr>
                <w:rFonts w:cstheme="minorHAnsi"/>
              </w:rPr>
            </w:pPr>
            <w:r w:rsidRPr="00681AE3">
              <w:rPr>
                <w:rFonts w:cstheme="minorHAnsi"/>
              </w:rPr>
              <w:t>38</w:t>
            </w:r>
          </w:p>
        </w:tc>
        <w:tc>
          <w:tcPr>
            <w:tcW w:w="992" w:type="dxa"/>
            <w:tcBorders>
              <w:top w:val="single" w:sz="2" w:space="0" w:color="70AD47" w:themeColor="accent6"/>
              <w:left w:val="single" w:sz="2" w:space="0" w:color="70AD47" w:themeColor="accent6"/>
              <w:bottom w:val="single" w:sz="2" w:space="0" w:color="70AD47" w:themeColor="accent6"/>
              <w:right w:val="single" w:sz="2" w:space="0" w:color="70AD47" w:themeColor="accent6"/>
            </w:tcBorders>
            <w:tcMar>
              <w:top w:w="0" w:type="dxa"/>
              <w:left w:w="57" w:type="dxa"/>
              <w:bottom w:w="0" w:type="dxa"/>
              <w:right w:w="57" w:type="dxa"/>
            </w:tcMar>
          </w:tcPr>
          <w:p w14:paraId="41ED7A62" w14:textId="77777777" w:rsidR="006F2543" w:rsidRPr="00681AE3" w:rsidRDefault="006F2543" w:rsidP="00D66736">
            <w:pPr>
              <w:spacing w:before="60" w:after="60" w:line="276" w:lineRule="auto"/>
              <w:ind w:right="-472"/>
              <w:jc w:val="center"/>
              <w:rPr>
                <w:rFonts w:cstheme="minorHAnsi"/>
              </w:rPr>
            </w:pPr>
            <w:r w:rsidRPr="00681AE3">
              <w:rPr>
                <w:rFonts w:cstheme="minorHAnsi"/>
              </w:rPr>
              <w:t>33</w:t>
            </w:r>
          </w:p>
        </w:tc>
        <w:tc>
          <w:tcPr>
            <w:tcW w:w="850" w:type="dxa"/>
            <w:tcBorders>
              <w:top w:val="single" w:sz="2" w:space="0" w:color="70AD47" w:themeColor="accent6"/>
              <w:left w:val="single" w:sz="2" w:space="0" w:color="70AD47" w:themeColor="accent6"/>
              <w:bottom w:val="single" w:sz="2" w:space="0" w:color="70AD47" w:themeColor="accent6"/>
              <w:right w:val="single" w:sz="8" w:space="0" w:color="70AD47" w:themeColor="accent6"/>
            </w:tcBorders>
            <w:tcMar>
              <w:top w:w="0" w:type="dxa"/>
              <w:left w:w="57" w:type="dxa"/>
              <w:bottom w:w="0" w:type="dxa"/>
              <w:right w:w="57" w:type="dxa"/>
            </w:tcMar>
          </w:tcPr>
          <w:p w14:paraId="4E7CCAF5" w14:textId="77777777" w:rsidR="006F2543" w:rsidRPr="00681AE3" w:rsidRDefault="006F2543" w:rsidP="00D66736">
            <w:pPr>
              <w:spacing w:before="60" w:after="60" w:line="276" w:lineRule="auto"/>
              <w:ind w:right="-472"/>
              <w:jc w:val="center"/>
              <w:rPr>
                <w:rFonts w:cstheme="minorHAnsi"/>
              </w:rPr>
            </w:pPr>
            <w:r w:rsidRPr="00681AE3">
              <w:rPr>
                <w:rFonts w:cstheme="minorHAnsi"/>
              </w:rPr>
              <w:t>46</w:t>
            </w:r>
          </w:p>
        </w:tc>
        <w:tc>
          <w:tcPr>
            <w:tcW w:w="851" w:type="dxa"/>
            <w:tcBorders>
              <w:top w:val="single" w:sz="4" w:space="0" w:color="70AD47" w:themeColor="accent6"/>
              <w:left w:val="single" w:sz="8"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2482EC2D" w14:textId="77777777" w:rsidR="006F2543" w:rsidRPr="00681AE3" w:rsidRDefault="006F2543" w:rsidP="00D66736">
            <w:pPr>
              <w:spacing w:before="60" w:after="60" w:line="276" w:lineRule="auto"/>
              <w:ind w:right="-472"/>
              <w:jc w:val="center"/>
              <w:rPr>
                <w:rFonts w:cstheme="minorHAnsi"/>
              </w:rPr>
            </w:pPr>
            <w:r w:rsidRPr="00681AE3">
              <w:rPr>
                <w:rFonts w:cstheme="minorHAnsi"/>
              </w:rPr>
              <w:t>44</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4DAB45A6" w14:textId="77777777" w:rsidR="006F2543" w:rsidRPr="00681AE3" w:rsidRDefault="006F2543" w:rsidP="00D66736">
            <w:pPr>
              <w:spacing w:before="60" w:after="60" w:line="276" w:lineRule="auto"/>
              <w:ind w:right="-472"/>
              <w:jc w:val="center"/>
              <w:rPr>
                <w:rFonts w:cstheme="minorHAnsi"/>
              </w:rPr>
            </w:pPr>
            <w:r w:rsidRPr="00681AE3">
              <w:rPr>
                <w:rFonts w:cstheme="minorHAnsi"/>
              </w:rPr>
              <w:t>37</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3E9BE033" w14:textId="77777777" w:rsidR="006F2543" w:rsidRPr="00681AE3" w:rsidRDefault="006F2543" w:rsidP="00D66736">
            <w:pPr>
              <w:spacing w:before="60" w:after="60" w:line="276" w:lineRule="auto"/>
              <w:ind w:right="-472"/>
              <w:jc w:val="center"/>
              <w:rPr>
                <w:rFonts w:cstheme="minorHAnsi"/>
              </w:rPr>
            </w:pPr>
            <w:r w:rsidRPr="00681AE3">
              <w:rPr>
                <w:rFonts w:cstheme="minorHAnsi"/>
              </w:rPr>
              <w:t>58</w:t>
            </w:r>
          </w:p>
        </w:tc>
      </w:tr>
      <w:tr w:rsidR="006F2543" w14:paraId="799AC43F" w14:textId="77777777" w:rsidTr="00D66736">
        <w:trPr>
          <w:trHeight w:hRule="exact" w:val="284"/>
        </w:trPr>
        <w:tc>
          <w:tcPr>
            <w:tcW w:w="141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58069933" w14:textId="77777777" w:rsidR="006F2543" w:rsidRPr="00681AE3" w:rsidRDefault="006F2543" w:rsidP="00D66736">
            <w:pPr>
              <w:spacing w:before="60" w:after="60" w:line="276" w:lineRule="auto"/>
              <w:ind w:right="-472"/>
              <w:rPr>
                <w:rFonts w:cstheme="minorHAnsi"/>
              </w:rPr>
            </w:pPr>
            <w:r w:rsidRPr="00681AE3">
              <w:rPr>
                <w:rFonts w:cstheme="minorHAnsi"/>
              </w:rPr>
              <w:t>CIC National</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10302474" w14:textId="77777777" w:rsidR="006F2543" w:rsidRPr="00681AE3" w:rsidRDefault="006F2543" w:rsidP="00D66736">
            <w:pPr>
              <w:spacing w:before="60" w:after="60" w:line="276" w:lineRule="auto"/>
              <w:ind w:right="-472"/>
              <w:jc w:val="center"/>
              <w:rPr>
                <w:rFonts w:cstheme="minorHAnsi"/>
              </w:rPr>
            </w:pPr>
            <w:r w:rsidRPr="00681AE3">
              <w:rPr>
                <w:rFonts w:cstheme="minorHAnsi"/>
              </w:rPr>
              <w:t>51</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21F33156" w14:textId="77777777" w:rsidR="006F2543" w:rsidRPr="00681AE3" w:rsidRDefault="006F2543" w:rsidP="00D66736">
            <w:pPr>
              <w:spacing w:before="60" w:after="60" w:line="276" w:lineRule="auto"/>
              <w:ind w:right="-472"/>
              <w:jc w:val="center"/>
              <w:rPr>
                <w:rFonts w:cstheme="minorHAnsi"/>
              </w:rPr>
            </w:pPr>
            <w:r w:rsidRPr="00681AE3">
              <w:rPr>
                <w:rFonts w:cstheme="minorHAnsi"/>
              </w:rPr>
              <w:t>51</w:t>
            </w:r>
          </w:p>
        </w:tc>
        <w:tc>
          <w:tcPr>
            <w:tcW w:w="850" w:type="dxa"/>
            <w:tcBorders>
              <w:top w:val="single" w:sz="4" w:space="0" w:color="70AD47" w:themeColor="accent6"/>
              <w:left w:val="single" w:sz="4" w:space="0" w:color="70AD47" w:themeColor="accent6"/>
              <w:bottom w:val="single" w:sz="4" w:space="0" w:color="70AD47" w:themeColor="accent6"/>
              <w:right w:val="single" w:sz="8" w:space="0" w:color="70AD47" w:themeColor="accent6"/>
            </w:tcBorders>
            <w:tcMar>
              <w:top w:w="0" w:type="dxa"/>
              <w:left w:w="57" w:type="dxa"/>
              <w:bottom w:w="0" w:type="dxa"/>
              <w:right w:w="57" w:type="dxa"/>
            </w:tcMar>
          </w:tcPr>
          <w:p w14:paraId="09B876C1" w14:textId="77777777" w:rsidR="006F2543" w:rsidRPr="00681AE3" w:rsidRDefault="006F2543" w:rsidP="00D66736">
            <w:pPr>
              <w:spacing w:before="60" w:after="60" w:line="276" w:lineRule="auto"/>
              <w:ind w:right="-472"/>
              <w:jc w:val="center"/>
              <w:rPr>
                <w:rFonts w:cstheme="minorHAnsi"/>
              </w:rPr>
            </w:pPr>
            <w:r w:rsidRPr="00681AE3">
              <w:rPr>
                <w:rFonts w:cstheme="minorHAnsi"/>
              </w:rPr>
              <w:t>52</w:t>
            </w:r>
          </w:p>
        </w:tc>
        <w:tc>
          <w:tcPr>
            <w:tcW w:w="851" w:type="dxa"/>
            <w:tcBorders>
              <w:top w:val="single" w:sz="2" w:space="0" w:color="70AD47" w:themeColor="accent6"/>
              <w:left w:val="single" w:sz="8" w:space="0" w:color="70AD47" w:themeColor="accent6"/>
              <w:bottom w:val="single" w:sz="2" w:space="0" w:color="70AD47" w:themeColor="accent6"/>
              <w:right w:val="single" w:sz="2" w:space="0" w:color="70AD47" w:themeColor="accent6"/>
            </w:tcBorders>
            <w:tcMar>
              <w:top w:w="0" w:type="dxa"/>
              <w:left w:w="57" w:type="dxa"/>
              <w:bottom w:w="0" w:type="dxa"/>
              <w:right w:w="57" w:type="dxa"/>
            </w:tcMar>
          </w:tcPr>
          <w:p w14:paraId="04B07AAC" w14:textId="77777777" w:rsidR="006F2543" w:rsidRPr="00681AE3" w:rsidRDefault="006F2543" w:rsidP="00D66736">
            <w:pPr>
              <w:spacing w:before="60" w:after="60" w:line="276" w:lineRule="auto"/>
              <w:ind w:right="-472"/>
              <w:jc w:val="center"/>
              <w:rPr>
                <w:rFonts w:cstheme="minorHAnsi"/>
              </w:rPr>
            </w:pPr>
            <w:r w:rsidRPr="00681AE3">
              <w:rPr>
                <w:rFonts w:cstheme="minorHAnsi"/>
              </w:rPr>
              <w:t>39</w:t>
            </w:r>
          </w:p>
        </w:tc>
        <w:tc>
          <w:tcPr>
            <w:tcW w:w="992" w:type="dxa"/>
            <w:tcBorders>
              <w:top w:val="single" w:sz="2" w:space="0" w:color="70AD47" w:themeColor="accent6"/>
              <w:left w:val="single" w:sz="2" w:space="0" w:color="70AD47" w:themeColor="accent6"/>
              <w:bottom w:val="single" w:sz="2" w:space="0" w:color="70AD47" w:themeColor="accent6"/>
              <w:right w:val="single" w:sz="2" w:space="0" w:color="70AD47" w:themeColor="accent6"/>
            </w:tcBorders>
            <w:tcMar>
              <w:top w:w="0" w:type="dxa"/>
              <w:left w:w="57" w:type="dxa"/>
              <w:bottom w:w="0" w:type="dxa"/>
              <w:right w:w="57" w:type="dxa"/>
            </w:tcMar>
          </w:tcPr>
          <w:p w14:paraId="015EC093" w14:textId="77777777" w:rsidR="006F2543" w:rsidRPr="00681AE3" w:rsidRDefault="006F2543" w:rsidP="00D66736">
            <w:pPr>
              <w:spacing w:before="60" w:after="60" w:line="276" w:lineRule="auto"/>
              <w:ind w:right="-472"/>
              <w:jc w:val="center"/>
              <w:rPr>
                <w:rFonts w:cstheme="minorHAnsi"/>
              </w:rPr>
            </w:pPr>
            <w:r w:rsidRPr="00681AE3">
              <w:rPr>
                <w:rFonts w:cstheme="minorHAnsi"/>
              </w:rPr>
              <w:t>42</w:t>
            </w:r>
          </w:p>
        </w:tc>
        <w:tc>
          <w:tcPr>
            <w:tcW w:w="850" w:type="dxa"/>
            <w:tcBorders>
              <w:top w:val="single" w:sz="2" w:space="0" w:color="70AD47" w:themeColor="accent6"/>
              <w:left w:val="single" w:sz="2" w:space="0" w:color="70AD47" w:themeColor="accent6"/>
              <w:bottom w:val="single" w:sz="2" w:space="0" w:color="70AD47" w:themeColor="accent6"/>
              <w:right w:val="single" w:sz="8" w:space="0" w:color="70AD47" w:themeColor="accent6"/>
            </w:tcBorders>
            <w:tcMar>
              <w:top w:w="0" w:type="dxa"/>
              <w:left w:w="57" w:type="dxa"/>
              <w:bottom w:w="0" w:type="dxa"/>
              <w:right w:w="57" w:type="dxa"/>
            </w:tcMar>
          </w:tcPr>
          <w:p w14:paraId="2B0E81B3" w14:textId="77777777" w:rsidR="006F2543" w:rsidRPr="00681AE3" w:rsidRDefault="006F2543" w:rsidP="00D66736">
            <w:pPr>
              <w:spacing w:before="60" w:after="60" w:line="276" w:lineRule="auto"/>
              <w:ind w:right="-472"/>
              <w:jc w:val="center"/>
              <w:rPr>
                <w:rFonts w:cstheme="minorHAnsi"/>
              </w:rPr>
            </w:pPr>
            <w:r w:rsidRPr="00681AE3">
              <w:rPr>
                <w:rFonts w:cstheme="minorHAnsi"/>
              </w:rPr>
              <w:t>43</w:t>
            </w:r>
          </w:p>
        </w:tc>
        <w:tc>
          <w:tcPr>
            <w:tcW w:w="851" w:type="dxa"/>
            <w:tcBorders>
              <w:top w:val="single" w:sz="4" w:space="0" w:color="70AD47" w:themeColor="accent6"/>
              <w:left w:val="single" w:sz="8"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66926FA4" w14:textId="77777777" w:rsidR="006F2543" w:rsidRPr="00681AE3" w:rsidRDefault="006F2543" w:rsidP="00D66736">
            <w:pPr>
              <w:spacing w:before="60" w:after="60" w:line="276" w:lineRule="auto"/>
              <w:ind w:right="-472"/>
              <w:jc w:val="center"/>
              <w:rPr>
                <w:rFonts w:cstheme="minorHAnsi"/>
              </w:rPr>
            </w:pPr>
            <w:r w:rsidRPr="00681AE3">
              <w:rPr>
                <w:rFonts w:cstheme="minorHAnsi"/>
              </w:rPr>
              <w:t>46</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1AD1D417" w14:textId="77777777" w:rsidR="006F2543" w:rsidRPr="00681AE3" w:rsidRDefault="006F2543" w:rsidP="00D66736">
            <w:pPr>
              <w:spacing w:before="60" w:after="60" w:line="276" w:lineRule="auto"/>
              <w:ind w:right="-472"/>
              <w:jc w:val="center"/>
              <w:rPr>
                <w:rFonts w:cstheme="minorHAnsi"/>
              </w:rPr>
            </w:pPr>
            <w:r w:rsidRPr="00681AE3">
              <w:rPr>
                <w:rFonts w:cstheme="minorHAnsi"/>
              </w:rPr>
              <w:t>49</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7EC2288E" w14:textId="77777777" w:rsidR="006F2543" w:rsidRPr="00681AE3" w:rsidRDefault="006F2543" w:rsidP="00D66736">
            <w:pPr>
              <w:spacing w:before="60" w:after="60" w:line="276" w:lineRule="auto"/>
              <w:ind w:right="-472"/>
              <w:jc w:val="center"/>
              <w:rPr>
                <w:rFonts w:cstheme="minorHAnsi"/>
              </w:rPr>
            </w:pPr>
            <w:r w:rsidRPr="00681AE3">
              <w:rPr>
                <w:rFonts w:cstheme="minorHAnsi"/>
              </w:rPr>
              <w:t>49</w:t>
            </w:r>
          </w:p>
        </w:tc>
      </w:tr>
      <w:tr w:rsidR="006F2543" w14:paraId="4696E3DF" w14:textId="77777777" w:rsidTr="00D66736">
        <w:trPr>
          <w:trHeight w:hRule="exact" w:val="284"/>
        </w:trPr>
        <w:tc>
          <w:tcPr>
            <w:tcW w:w="141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41679E0C" w14:textId="77777777" w:rsidR="006F2543" w:rsidRPr="00681AE3" w:rsidRDefault="006F2543" w:rsidP="00D66736">
            <w:pPr>
              <w:spacing w:before="60" w:after="60" w:line="276" w:lineRule="auto"/>
              <w:ind w:right="-472"/>
              <w:rPr>
                <w:rFonts w:cstheme="minorHAnsi"/>
              </w:rPr>
            </w:pPr>
            <w:r w:rsidRPr="00681AE3">
              <w:rPr>
                <w:rFonts w:cstheme="minorHAnsi"/>
              </w:rPr>
              <w:t>ALL Sandwell</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3F270142" w14:textId="77777777" w:rsidR="006F2543" w:rsidRPr="00681AE3" w:rsidRDefault="006F2543" w:rsidP="00D66736">
            <w:pPr>
              <w:spacing w:before="60" w:after="60" w:line="276" w:lineRule="auto"/>
              <w:ind w:right="-472"/>
              <w:jc w:val="center"/>
              <w:rPr>
                <w:rFonts w:cstheme="minorHAnsi"/>
              </w:rPr>
            </w:pPr>
            <w:r w:rsidRPr="00681AE3">
              <w:rPr>
                <w:rFonts w:cstheme="minorHAnsi"/>
              </w:rPr>
              <w:t>71</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56682514" w14:textId="77777777" w:rsidR="006F2543" w:rsidRPr="00681AE3" w:rsidRDefault="006F2543" w:rsidP="00D66736">
            <w:pPr>
              <w:spacing w:before="60" w:after="60" w:line="276" w:lineRule="auto"/>
              <w:ind w:right="-472"/>
              <w:jc w:val="center"/>
              <w:rPr>
                <w:rFonts w:cstheme="minorHAnsi"/>
              </w:rPr>
            </w:pPr>
            <w:r w:rsidRPr="00681AE3">
              <w:rPr>
                <w:rFonts w:cstheme="minorHAnsi"/>
              </w:rPr>
              <w:t>71</w:t>
            </w:r>
          </w:p>
        </w:tc>
        <w:tc>
          <w:tcPr>
            <w:tcW w:w="850" w:type="dxa"/>
            <w:tcBorders>
              <w:top w:val="single" w:sz="4" w:space="0" w:color="70AD47" w:themeColor="accent6"/>
              <w:left w:val="single" w:sz="4" w:space="0" w:color="70AD47" w:themeColor="accent6"/>
              <w:bottom w:val="single" w:sz="4" w:space="0" w:color="70AD47" w:themeColor="accent6"/>
              <w:right w:val="single" w:sz="8" w:space="0" w:color="70AD47" w:themeColor="accent6"/>
            </w:tcBorders>
            <w:tcMar>
              <w:top w:w="0" w:type="dxa"/>
              <w:left w:w="57" w:type="dxa"/>
              <w:bottom w:w="0" w:type="dxa"/>
              <w:right w:w="57" w:type="dxa"/>
            </w:tcMar>
          </w:tcPr>
          <w:p w14:paraId="746363E1" w14:textId="77777777" w:rsidR="006F2543" w:rsidRPr="00681AE3" w:rsidRDefault="006F2543" w:rsidP="00D66736">
            <w:pPr>
              <w:spacing w:before="60" w:after="60" w:line="276" w:lineRule="auto"/>
              <w:ind w:right="-472"/>
              <w:jc w:val="center"/>
              <w:rPr>
                <w:rFonts w:cstheme="minorHAnsi"/>
              </w:rPr>
            </w:pPr>
            <w:r w:rsidRPr="00681AE3">
              <w:rPr>
                <w:rFonts w:cstheme="minorHAnsi"/>
              </w:rPr>
              <w:t>71</w:t>
            </w:r>
          </w:p>
        </w:tc>
        <w:tc>
          <w:tcPr>
            <w:tcW w:w="851" w:type="dxa"/>
            <w:tcBorders>
              <w:top w:val="single" w:sz="2" w:space="0" w:color="70AD47" w:themeColor="accent6"/>
              <w:left w:val="single" w:sz="8" w:space="0" w:color="70AD47" w:themeColor="accent6"/>
              <w:bottom w:val="single" w:sz="2" w:space="0" w:color="70AD47" w:themeColor="accent6"/>
              <w:right w:val="single" w:sz="2" w:space="0" w:color="70AD47" w:themeColor="accent6"/>
            </w:tcBorders>
            <w:tcMar>
              <w:top w:w="0" w:type="dxa"/>
              <w:left w:w="57" w:type="dxa"/>
              <w:bottom w:w="0" w:type="dxa"/>
              <w:right w:w="57" w:type="dxa"/>
            </w:tcMar>
          </w:tcPr>
          <w:p w14:paraId="23FB92FF" w14:textId="77777777" w:rsidR="006F2543" w:rsidRPr="00681AE3" w:rsidRDefault="006F2543" w:rsidP="00D66736">
            <w:pPr>
              <w:spacing w:before="60" w:after="60" w:line="276" w:lineRule="auto"/>
              <w:ind w:right="-472"/>
              <w:jc w:val="center"/>
              <w:rPr>
                <w:rFonts w:cstheme="minorHAnsi"/>
              </w:rPr>
            </w:pPr>
            <w:r w:rsidRPr="00681AE3">
              <w:rPr>
                <w:rFonts w:cstheme="minorHAnsi"/>
              </w:rPr>
              <w:t>64</w:t>
            </w:r>
          </w:p>
        </w:tc>
        <w:tc>
          <w:tcPr>
            <w:tcW w:w="992" w:type="dxa"/>
            <w:tcBorders>
              <w:top w:val="single" w:sz="2" w:space="0" w:color="70AD47" w:themeColor="accent6"/>
              <w:left w:val="single" w:sz="2" w:space="0" w:color="70AD47" w:themeColor="accent6"/>
              <w:bottom w:val="single" w:sz="2" w:space="0" w:color="70AD47" w:themeColor="accent6"/>
              <w:right w:val="single" w:sz="2" w:space="0" w:color="70AD47" w:themeColor="accent6"/>
            </w:tcBorders>
            <w:tcMar>
              <w:top w:w="0" w:type="dxa"/>
              <w:left w:w="57" w:type="dxa"/>
              <w:bottom w:w="0" w:type="dxa"/>
              <w:right w:w="57" w:type="dxa"/>
            </w:tcMar>
          </w:tcPr>
          <w:p w14:paraId="0542F59D" w14:textId="77777777" w:rsidR="006F2543" w:rsidRPr="00681AE3" w:rsidRDefault="006F2543" w:rsidP="00D66736">
            <w:pPr>
              <w:spacing w:before="60" w:after="60" w:line="276" w:lineRule="auto"/>
              <w:ind w:right="-472"/>
              <w:jc w:val="center"/>
              <w:rPr>
                <w:rFonts w:cstheme="minorHAnsi"/>
              </w:rPr>
            </w:pPr>
            <w:r w:rsidRPr="00681AE3">
              <w:rPr>
                <w:rFonts w:cstheme="minorHAnsi"/>
              </w:rPr>
              <w:t>66</w:t>
            </w:r>
          </w:p>
        </w:tc>
        <w:tc>
          <w:tcPr>
            <w:tcW w:w="850" w:type="dxa"/>
            <w:tcBorders>
              <w:top w:val="single" w:sz="2" w:space="0" w:color="70AD47" w:themeColor="accent6"/>
              <w:left w:val="single" w:sz="2" w:space="0" w:color="70AD47" w:themeColor="accent6"/>
              <w:bottom w:val="single" w:sz="2" w:space="0" w:color="70AD47" w:themeColor="accent6"/>
              <w:right w:val="single" w:sz="8" w:space="0" w:color="70AD47" w:themeColor="accent6"/>
            </w:tcBorders>
            <w:tcMar>
              <w:top w:w="0" w:type="dxa"/>
              <w:left w:w="57" w:type="dxa"/>
              <w:bottom w:w="0" w:type="dxa"/>
              <w:right w:w="57" w:type="dxa"/>
            </w:tcMar>
          </w:tcPr>
          <w:p w14:paraId="74D54B9E" w14:textId="77777777" w:rsidR="006F2543" w:rsidRPr="00681AE3" w:rsidRDefault="006F2543" w:rsidP="00D66736">
            <w:pPr>
              <w:spacing w:before="60" w:after="60" w:line="276" w:lineRule="auto"/>
              <w:ind w:right="-472"/>
              <w:jc w:val="center"/>
              <w:rPr>
                <w:rFonts w:cstheme="minorHAnsi"/>
              </w:rPr>
            </w:pPr>
            <w:r w:rsidRPr="00681AE3">
              <w:rPr>
                <w:rFonts w:cstheme="minorHAnsi"/>
              </w:rPr>
              <w:t>66</w:t>
            </w:r>
          </w:p>
        </w:tc>
        <w:tc>
          <w:tcPr>
            <w:tcW w:w="851" w:type="dxa"/>
            <w:tcBorders>
              <w:top w:val="single" w:sz="4" w:space="0" w:color="70AD47" w:themeColor="accent6"/>
              <w:left w:val="single" w:sz="8"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35C2E675" w14:textId="77777777" w:rsidR="006F2543" w:rsidRPr="00681AE3" w:rsidRDefault="006F2543" w:rsidP="00D66736">
            <w:pPr>
              <w:spacing w:before="60" w:after="60" w:line="276" w:lineRule="auto"/>
              <w:ind w:right="-472"/>
              <w:jc w:val="center"/>
              <w:rPr>
                <w:rFonts w:cstheme="minorHAnsi"/>
              </w:rPr>
            </w:pPr>
            <w:r w:rsidRPr="00681AE3">
              <w:rPr>
                <w:rFonts w:cstheme="minorHAnsi"/>
              </w:rPr>
              <w:t>71</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110FEC4D" w14:textId="77777777" w:rsidR="006F2543" w:rsidRPr="00681AE3" w:rsidRDefault="006F2543" w:rsidP="00D66736">
            <w:pPr>
              <w:spacing w:before="60" w:after="60" w:line="276" w:lineRule="auto"/>
              <w:ind w:right="-472"/>
              <w:jc w:val="center"/>
              <w:rPr>
                <w:rFonts w:cstheme="minorHAnsi"/>
              </w:rPr>
            </w:pPr>
            <w:r w:rsidRPr="00681AE3">
              <w:rPr>
                <w:rFonts w:cstheme="minorHAnsi"/>
              </w:rPr>
              <w:t>73</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2AE8F8A0" w14:textId="77777777" w:rsidR="006F2543" w:rsidRPr="00681AE3" w:rsidRDefault="006F2543" w:rsidP="00D66736">
            <w:pPr>
              <w:spacing w:before="60" w:after="60" w:line="276" w:lineRule="auto"/>
              <w:ind w:right="-472"/>
              <w:jc w:val="center"/>
              <w:rPr>
                <w:rFonts w:cstheme="minorHAnsi"/>
              </w:rPr>
            </w:pPr>
            <w:r w:rsidRPr="00681AE3">
              <w:rPr>
                <w:rFonts w:cstheme="minorHAnsi"/>
              </w:rPr>
              <w:t>74</w:t>
            </w:r>
          </w:p>
        </w:tc>
      </w:tr>
      <w:tr w:rsidR="006F2543" w14:paraId="465384C9" w14:textId="77777777" w:rsidTr="00D66736">
        <w:trPr>
          <w:trHeight w:hRule="exact" w:val="284"/>
        </w:trPr>
        <w:tc>
          <w:tcPr>
            <w:tcW w:w="141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25B0C25F" w14:textId="77777777" w:rsidR="006F2543" w:rsidRPr="00681AE3" w:rsidRDefault="006F2543" w:rsidP="00D66736">
            <w:pPr>
              <w:spacing w:before="60" w:after="60" w:line="276" w:lineRule="auto"/>
              <w:ind w:right="-472"/>
              <w:rPr>
                <w:rFonts w:cstheme="minorHAnsi"/>
              </w:rPr>
            </w:pPr>
            <w:r w:rsidRPr="00681AE3">
              <w:rPr>
                <w:rFonts w:cstheme="minorHAnsi"/>
              </w:rPr>
              <w:t>ALL National</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091D809F" w14:textId="77777777" w:rsidR="006F2543" w:rsidRPr="00681AE3" w:rsidRDefault="006F2543" w:rsidP="00D66736">
            <w:pPr>
              <w:spacing w:before="60" w:after="60" w:line="276" w:lineRule="auto"/>
              <w:ind w:right="-472"/>
              <w:jc w:val="center"/>
              <w:rPr>
                <w:rFonts w:cstheme="minorHAnsi"/>
              </w:rPr>
            </w:pPr>
            <w:r w:rsidRPr="00681AE3">
              <w:rPr>
                <w:rFonts w:cstheme="minorHAnsi"/>
              </w:rPr>
              <w:t>76</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4BDBF986" w14:textId="77777777" w:rsidR="006F2543" w:rsidRPr="00681AE3" w:rsidRDefault="006F2543" w:rsidP="00D66736">
            <w:pPr>
              <w:spacing w:before="60" w:after="60" w:line="276" w:lineRule="auto"/>
              <w:ind w:right="-472"/>
              <w:jc w:val="center"/>
              <w:rPr>
                <w:rFonts w:cstheme="minorHAnsi"/>
              </w:rPr>
            </w:pPr>
            <w:r w:rsidRPr="00681AE3">
              <w:rPr>
                <w:rFonts w:cstheme="minorHAnsi"/>
              </w:rPr>
              <w:t>75</w:t>
            </w:r>
          </w:p>
        </w:tc>
        <w:tc>
          <w:tcPr>
            <w:tcW w:w="850" w:type="dxa"/>
            <w:tcBorders>
              <w:top w:val="single" w:sz="4" w:space="0" w:color="70AD47" w:themeColor="accent6"/>
              <w:left w:val="single" w:sz="4" w:space="0" w:color="70AD47" w:themeColor="accent6"/>
              <w:bottom w:val="single" w:sz="4" w:space="0" w:color="70AD47" w:themeColor="accent6"/>
              <w:right w:val="single" w:sz="8" w:space="0" w:color="70AD47" w:themeColor="accent6"/>
            </w:tcBorders>
            <w:tcMar>
              <w:top w:w="0" w:type="dxa"/>
              <w:left w:w="57" w:type="dxa"/>
              <w:bottom w:w="0" w:type="dxa"/>
              <w:right w:w="57" w:type="dxa"/>
            </w:tcMar>
          </w:tcPr>
          <w:p w14:paraId="5100787F" w14:textId="77777777" w:rsidR="006F2543" w:rsidRPr="00681AE3" w:rsidRDefault="006F2543" w:rsidP="00D66736">
            <w:pPr>
              <w:spacing w:before="60" w:after="60" w:line="276" w:lineRule="auto"/>
              <w:ind w:right="-472"/>
              <w:jc w:val="center"/>
              <w:rPr>
                <w:rFonts w:cstheme="minorHAnsi"/>
              </w:rPr>
            </w:pPr>
            <w:r w:rsidRPr="00681AE3">
              <w:rPr>
                <w:rFonts w:cstheme="minorHAnsi"/>
              </w:rPr>
              <w:t>75</w:t>
            </w:r>
          </w:p>
        </w:tc>
        <w:tc>
          <w:tcPr>
            <w:tcW w:w="851" w:type="dxa"/>
            <w:tcBorders>
              <w:top w:val="single" w:sz="2" w:space="0" w:color="70AD47" w:themeColor="accent6"/>
              <w:left w:val="single" w:sz="8" w:space="0" w:color="70AD47" w:themeColor="accent6"/>
              <w:bottom w:val="single" w:sz="2" w:space="0" w:color="70AD47" w:themeColor="accent6"/>
              <w:right w:val="single" w:sz="2" w:space="0" w:color="70AD47" w:themeColor="accent6"/>
            </w:tcBorders>
            <w:tcMar>
              <w:top w:w="0" w:type="dxa"/>
              <w:left w:w="57" w:type="dxa"/>
              <w:bottom w:w="0" w:type="dxa"/>
              <w:right w:w="57" w:type="dxa"/>
            </w:tcMar>
          </w:tcPr>
          <w:p w14:paraId="1A1B92C8" w14:textId="77777777" w:rsidR="006F2543" w:rsidRPr="00681AE3" w:rsidRDefault="006F2543" w:rsidP="00D66736">
            <w:pPr>
              <w:spacing w:before="60" w:after="60" w:line="276" w:lineRule="auto"/>
              <w:ind w:right="-472"/>
              <w:jc w:val="center"/>
              <w:rPr>
                <w:rFonts w:cstheme="minorHAnsi"/>
              </w:rPr>
            </w:pPr>
            <w:r w:rsidRPr="00681AE3">
              <w:rPr>
                <w:rFonts w:cstheme="minorHAnsi"/>
              </w:rPr>
              <w:t>68</w:t>
            </w:r>
          </w:p>
        </w:tc>
        <w:tc>
          <w:tcPr>
            <w:tcW w:w="992" w:type="dxa"/>
            <w:tcBorders>
              <w:top w:val="single" w:sz="2" w:space="0" w:color="70AD47" w:themeColor="accent6"/>
              <w:left w:val="single" w:sz="2" w:space="0" w:color="70AD47" w:themeColor="accent6"/>
              <w:bottom w:val="single" w:sz="2" w:space="0" w:color="70AD47" w:themeColor="accent6"/>
              <w:right w:val="single" w:sz="2" w:space="0" w:color="70AD47" w:themeColor="accent6"/>
            </w:tcBorders>
            <w:tcMar>
              <w:top w:w="0" w:type="dxa"/>
              <w:left w:w="57" w:type="dxa"/>
              <w:bottom w:w="0" w:type="dxa"/>
              <w:right w:w="57" w:type="dxa"/>
            </w:tcMar>
          </w:tcPr>
          <w:p w14:paraId="2EDAB2B0" w14:textId="77777777" w:rsidR="006F2543" w:rsidRPr="00681AE3" w:rsidRDefault="006F2543" w:rsidP="00D66736">
            <w:pPr>
              <w:spacing w:before="60" w:after="60" w:line="276" w:lineRule="auto"/>
              <w:ind w:right="-472"/>
              <w:jc w:val="center"/>
              <w:rPr>
                <w:rFonts w:cstheme="minorHAnsi"/>
              </w:rPr>
            </w:pPr>
            <w:r w:rsidRPr="00681AE3">
              <w:rPr>
                <w:rFonts w:cstheme="minorHAnsi"/>
              </w:rPr>
              <w:t>70</w:t>
            </w:r>
          </w:p>
        </w:tc>
        <w:tc>
          <w:tcPr>
            <w:tcW w:w="850" w:type="dxa"/>
            <w:tcBorders>
              <w:top w:val="single" w:sz="2" w:space="0" w:color="70AD47" w:themeColor="accent6"/>
              <w:left w:val="single" w:sz="2" w:space="0" w:color="70AD47" w:themeColor="accent6"/>
              <w:bottom w:val="single" w:sz="2" w:space="0" w:color="70AD47" w:themeColor="accent6"/>
              <w:right w:val="single" w:sz="8" w:space="0" w:color="70AD47" w:themeColor="accent6"/>
            </w:tcBorders>
            <w:tcMar>
              <w:top w:w="0" w:type="dxa"/>
              <w:left w:w="57" w:type="dxa"/>
              <w:bottom w:w="0" w:type="dxa"/>
              <w:right w:w="57" w:type="dxa"/>
            </w:tcMar>
          </w:tcPr>
          <w:p w14:paraId="1705CDFA" w14:textId="77777777" w:rsidR="006F2543" w:rsidRPr="00681AE3" w:rsidRDefault="006F2543" w:rsidP="00D66736">
            <w:pPr>
              <w:spacing w:before="60" w:after="60" w:line="276" w:lineRule="auto"/>
              <w:ind w:right="-472"/>
              <w:jc w:val="center"/>
              <w:rPr>
                <w:rFonts w:cstheme="minorHAnsi"/>
              </w:rPr>
            </w:pPr>
            <w:r w:rsidRPr="00681AE3">
              <w:rPr>
                <w:rFonts w:cstheme="minorHAnsi"/>
              </w:rPr>
              <w:t>69</w:t>
            </w:r>
          </w:p>
        </w:tc>
        <w:tc>
          <w:tcPr>
            <w:tcW w:w="851" w:type="dxa"/>
            <w:tcBorders>
              <w:top w:val="single" w:sz="4" w:space="0" w:color="70AD47" w:themeColor="accent6"/>
              <w:left w:val="single" w:sz="8"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54BBA099" w14:textId="77777777" w:rsidR="006F2543" w:rsidRPr="00681AE3" w:rsidRDefault="006F2543" w:rsidP="00D66736">
            <w:pPr>
              <w:spacing w:before="60" w:after="60" w:line="276" w:lineRule="auto"/>
              <w:ind w:right="-472"/>
              <w:jc w:val="center"/>
              <w:rPr>
                <w:rFonts w:cstheme="minorHAnsi"/>
              </w:rPr>
            </w:pPr>
            <w:r w:rsidRPr="00681AE3">
              <w:rPr>
                <w:rFonts w:cstheme="minorHAnsi"/>
              </w:rPr>
              <w:t>75</w:t>
            </w:r>
          </w:p>
        </w:tc>
        <w:tc>
          <w:tcPr>
            <w:tcW w:w="99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3D0CF0F0" w14:textId="77777777" w:rsidR="006F2543" w:rsidRPr="00681AE3" w:rsidRDefault="006F2543" w:rsidP="00D66736">
            <w:pPr>
              <w:spacing w:before="60" w:after="60" w:line="276" w:lineRule="auto"/>
              <w:ind w:right="-472"/>
              <w:jc w:val="center"/>
              <w:rPr>
                <w:rFonts w:cstheme="minorHAnsi"/>
              </w:rPr>
            </w:pPr>
            <w:r w:rsidRPr="00681AE3">
              <w:rPr>
                <w:rFonts w:cstheme="minorHAnsi"/>
              </w:rPr>
              <w:t>76</w:t>
            </w:r>
          </w:p>
        </w:tc>
        <w:tc>
          <w:tcPr>
            <w:tcW w:w="85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Mar>
              <w:top w:w="0" w:type="dxa"/>
              <w:left w:w="57" w:type="dxa"/>
              <w:bottom w:w="0" w:type="dxa"/>
              <w:right w:w="57" w:type="dxa"/>
            </w:tcMar>
          </w:tcPr>
          <w:p w14:paraId="3483FB7C" w14:textId="77777777" w:rsidR="006F2543" w:rsidRPr="00681AE3" w:rsidRDefault="006F2543" w:rsidP="00D66736">
            <w:pPr>
              <w:spacing w:before="60" w:after="60" w:line="276" w:lineRule="auto"/>
              <w:ind w:right="-472"/>
              <w:jc w:val="center"/>
              <w:rPr>
                <w:rFonts w:cstheme="minorHAnsi"/>
              </w:rPr>
            </w:pPr>
            <w:r w:rsidRPr="00681AE3">
              <w:rPr>
                <w:rFonts w:cstheme="minorHAnsi"/>
              </w:rPr>
              <w:t>76</w:t>
            </w:r>
          </w:p>
        </w:tc>
      </w:tr>
    </w:tbl>
    <w:p w14:paraId="0D19EA77" w14:textId="77777777" w:rsidR="006F2543" w:rsidRDefault="006F2543" w:rsidP="006F2543">
      <w:pPr>
        <w:rPr>
          <w:rFonts w:cs="Arial"/>
          <w:b/>
          <w:sz w:val="24"/>
          <w:szCs w:val="24"/>
        </w:rPr>
      </w:pPr>
      <w:r>
        <w:rPr>
          <w:rFonts w:cstheme="minorHAnsi"/>
          <w:noProof/>
          <w:sz w:val="24"/>
          <w:szCs w:val="24"/>
        </w:rPr>
        <w:t xml:space="preserve">Source: Sandwell Virtual School </w:t>
      </w:r>
      <w:r w:rsidRPr="00F04283">
        <w:rPr>
          <w:sz w:val="24"/>
          <w:szCs w:val="24"/>
        </w:rPr>
        <w:t>Sandwell LAC Validated Outcomes 2018-19</w:t>
      </w:r>
    </w:p>
    <w:p w14:paraId="01FA03EA" w14:textId="77777777" w:rsidR="00003903" w:rsidRDefault="00003903" w:rsidP="00003903"/>
    <w:p w14:paraId="6F74DEED" w14:textId="77777777" w:rsidR="00003903" w:rsidRPr="00EA2661" w:rsidRDefault="00003903" w:rsidP="005B1F6D">
      <w:pPr>
        <w:pStyle w:val="Heading2"/>
      </w:pPr>
      <w:r w:rsidRPr="00EA2661">
        <w:t>Child Deaths</w:t>
      </w:r>
    </w:p>
    <w:p w14:paraId="71992FC5" w14:textId="77777777" w:rsidR="00003903" w:rsidRPr="00580BD2" w:rsidRDefault="00003903" w:rsidP="00003903">
      <w:pPr>
        <w:rPr>
          <w:rFonts w:cs="Arial"/>
          <w:sz w:val="24"/>
          <w:szCs w:val="24"/>
        </w:rPr>
      </w:pPr>
      <w:r w:rsidRPr="00580BD2">
        <w:rPr>
          <w:rFonts w:cs="Arial"/>
          <w:sz w:val="24"/>
          <w:szCs w:val="24"/>
        </w:rPr>
        <w:t>There were 50 child deaths reported to Sandwell Child Death Overview Panel (CDOP) in 2018</w:t>
      </w:r>
      <w:r>
        <w:rPr>
          <w:rFonts w:cs="Arial"/>
          <w:sz w:val="24"/>
          <w:szCs w:val="24"/>
        </w:rPr>
        <w:t>/</w:t>
      </w:r>
      <w:r w:rsidRPr="00580BD2">
        <w:rPr>
          <w:rFonts w:cs="Arial"/>
          <w:sz w:val="24"/>
          <w:szCs w:val="24"/>
        </w:rPr>
        <w:t xml:space="preserve">2019.  8 of these were deemed as unexpected.  An unexpected child death is defined as ‘the death of an infant or child which was not anticipated as a significant possibility, for example, 24 hours before the death, or where there was an unexpected collapse or incident leading to or precipitating the events which lead to the death’, (Working Together 2018, Chapter 5). </w:t>
      </w:r>
    </w:p>
    <w:p w14:paraId="214E2698" w14:textId="532032D2" w:rsidR="00003903" w:rsidRDefault="00003903" w:rsidP="00003903">
      <w:pPr>
        <w:spacing w:after="160" w:line="259" w:lineRule="auto"/>
        <w:rPr>
          <w:rFonts w:cs="Arial"/>
          <w:b/>
          <w:sz w:val="24"/>
          <w:szCs w:val="24"/>
        </w:rPr>
      </w:pPr>
    </w:p>
    <w:p w14:paraId="4E2B5C1A" w14:textId="77777777" w:rsidR="00003903" w:rsidRPr="00F86761" w:rsidRDefault="00003903" w:rsidP="00003903">
      <w:pPr>
        <w:rPr>
          <w:rFonts w:cs="Arial"/>
          <w:b/>
          <w:bCs/>
          <w:sz w:val="24"/>
          <w:szCs w:val="24"/>
          <w:lang w:val="en-US"/>
        </w:rPr>
      </w:pPr>
      <w:r w:rsidRPr="00F86761">
        <w:rPr>
          <w:rFonts w:cs="Arial"/>
          <w:b/>
          <w:sz w:val="24"/>
          <w:szCs w:val="24"/>
        </w:rPr>
        <w:t xml:space="preserve">Figure 3.10: </w:t>
      </w:r>
      <w:r w:rsidRPr="00F86761">
        <w:rPr>
          <w:rFonts w:cs="Arial"/>
          <w:b/>
          <w:bCs/>
          <w:sz w:val="24"/>
          <w:szCs w:val="24"/>
          <w:lang w:val="en-US"/>
        </w:rPr>
        <w:t>Age of Child at Time of Death 2018/19</w:t>
      </w:r>
    </w:p>
    <w:p w14:paraId="707924D6" w14:textId="77777777" w:rsidR="00003903" w:rsidRPr="00580BD2" w:rsidRDefault="00003903" w:rsidP="00003903">
      <w:pPr>
        <w:rPr>
          <w:rFonts w:cs="Arial"/>
          <w:color w:val="FF0000"/>
          <w:sz w:val="24"/>
          <w:szCs w:val="24"/>
        </w:rPr>
      </w:pPr>
      <w:r w:rsidRPr="00580BD2">
        <w:rPr>
          <w:noProof/>
          <w:sz w:val="24"/>
          <w:szCs w:val="24"/>
        </w:rPr>
        <w:drawing>
          <wp:inline distT="0" distB="0" distL="0" distR="0" wp14:anchorId="1A614ADC" wp14:editId="4BF082BB">
            <wp:extent cx="4965700" cy="3445303"/>
            <wp:effectExtent l="0" t="0" r="6350" b="3175"/>
            <wp:docPr id="23" name="Chart 23">
              <a:extLst xmlns:a="http://schemas.openxmlformats.org/drawingml/2006/main">
                <a:ext uri="{FF2B5EF4-FFF2-40B4-BE49-F238E27FC236}">
                  <a16:creationId xmlns:a16="http://schemas.microsoft.com/office/drawing/2014/main" id="{7B4382CC-9CD4-481C-BD19-8E18D7DCE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2872C50" w14:textId="77777777" w:rsidR="00003903" w:rsidRPr="00580BD2" w:rsidRDefault="00003903" w:rsidP="00003903">
      <w:pPr>
        <w:spacing w:after="200" w:line="276" w:lineRule="auto"/>
        <w:rPr>
          <w:rFonts w:cs="Arial"/>
          <w:color w:val="FF0000"/>
          <w:sz w:val="24"/>
          <w:szCs w:val="24"/>
        </w:rPr>
      </w:pPr>
      <w:r w:rsidRPr="00580BD2">
        <w:rPr>
          <w:rFonts w:cs="Arial"/>
          <w:sz w:val="24"/>
          <w:szCs w:val="24"/>
        </w:rPr>
        <w:t>Source:  Sandwell Child Death Overview Panel (CDOP) Annual Report 2018-19</w:t>
      </w:r>
    </w:p>
    <w:p w14:paraId="46BBDB98" w14:textId="77777777" w:rsidR="00003903" w:rsidRPr="00580BD2" w:rsidRDefault="00003903" w:rsidP="00003903">
      <w:pPr>
        <w:rPr>
          <w:rFonts w:cs="Arial"/>
          <w:color w:val="FF0000"/>
          <w:sz w:val="24"/>
          <w:szCs w:val="24"/>
        </w:rPr>
      </w:pPr>
    </w:p>
    <w:p w14:paraId="2FE42AAA" w14:textId="77777777" w:rsidR="00003903" w:rsidRPr="00580BD2" w:rsidRDefault="00003903" w:rsidP="00003903">
      <w:pPr>
        <w:rPr>
          <w:rFonts w:cs="Arial"/>
          <w:sz w:val="24"/>
          <w:szCs w:val="24"/>
        </w:rPr>
      </w:pPr>
      <w:r w:rsidRPr="00580BD2">
        <w:rPr>
          <w:rFonts w:cs="Arial"/>
          <w:sz w:val="24"/>
          <w:szCs w:val="24"/>
        </w:rPr>
        <w:t xml:space="preserve">In 2018/19, 92% of all Sandwell child deaths occurred within the first four years of life, accounting for 46 of 50 deaths reported and 54% of all child deaths happened within 7 days of birth. </w:t>
      </w:r>
    </w:p>
    <w:p w14:paraId="5F458A6E" w14:textId="638DF0F8" w:rsidR="00003903" w:rsidRPr="00580BD2" w:rsidRDefault="00003903" w:rsidP="00003903">
      <w:pPr>
        <w:rPr>
          <w:rFonts w:cs="Arial"/>
          <w:sz w:val="24"/>
          <w:szCs w:val="24"/>
        </w:rPr>
      </w:pPr>
      <w:r w:rsidRPr="00580BD2">
        <w:rPr>
          <w:rFonts w:cs="Arial"/>
          <w:sz w:val="24"/>
          <w:szCs w:val="24"/>
        </w:rPr>
        <w:t xml:space="preserve">Deprivation continues to feature in child death numbers.  80% of reported deaths in 2018/19 are in the top 3 deprived areas and continues to be an area of concern not only in Sandwell, but nationally as outlined in the Health </w:t>
      </w:r>
      <w:r w:rsidR="00814EF8">
        <w:rPr>
          <w:rFonts w:cs="Arial"/>
          <w:sz w:val="24"/>
          <w:szCs w:val="24"/>
        </w:rPr>
        <w:t>Profile</w:t>
      </w:r>
      <w:r w:rsidRPr="00580BD2">
        <w:rPr>
          <w:rFonts w:cs="Arial"/>
          <w:sz w:val="24"/>
          <w:szCs w:val="24"/>
        </w:rPr>
        <w:t xml:space="preserve"> for England, 20</w:t>
      </w:r>
      <w:r w:rsidR="00814EF8">
        <w:rPr>
          <w:rFonts w:cs="Arial"/>
          <w:sz w:val="24"/>
          <w:szCs w:val="24"/>
        </w:rPr>
        <w:t>21</w:t>
      </w:r>
      <w:r w:rsidRPr="00580BD2">
        <w:rPr>
          <w:rFonts w:cs="Arial"/>
          <w:sz w:val="24"/>
          <w:szCs w:val="24"/>
        </w:rPr>
        <w:t>.</w:t>
      </w:r>
    </w:p>
    <w:p w14:paraId="09DC9387" w14:textId="77777777" w:rsidR="00003903" w:rsidRPr="00580BD2" w:rsidRDefault="00003903" w:rsidP="00003903">
      <w:pPr>
        <w:rPr>
          <w:rFonts w:cs="Arial"/>
          <w:color w:val="FF0000"/>
          <w:sz w:val="24"/>
          <w:szCs w:val="24"/>
        </w:rPr>
      </w:pPr>
    </w:p>
    <w:p w14:paraId="6E14554B" w14:textId="77777777" w:rsidR="00003903" w:rsidRPr="00580BD2" w:rsidRDefault="00003903" w:rsidP="00003903">
      <w:pPr>
        <w:pStyle w:val="Heading3"/>
      </w:pPr>
      <w:r w:rsidRPr="00580BD2">
        <w:t>Unexpected Deaths</w:t>
      </w:r>
    </w:p>
    <w:p w14:paraId="1D190161" w14:textId="399644C9" w:rsidR="00003903" w:rsidRPr="00580BD2" w:rsidRDefault="00003903" w:rsidP="00003903">
      <w:pPr>
        <w:rPr>
          <w:rFonts w:cs="Arial"/>
          <w:sz w:val="24"/>
          <w:szCs w:val="24"/>
        </w:rPr>
      </w:pPr>
      <w:r w:rsidRPr="00580BD2">
        <w:rPr>
          <w:rFonts w:cs="Arial"/>
          <w:sz w:val="24"/>
          <w:szCs w:val="24"/>
        </w:rPr>
        <w:t xml:space="preserve">The </w:t>
      </w:r>
      <w:r w:rsidR="002B5282">
        <w:rPr>
          <w:rFonts w:cs="Arial"/>
          <w:sz w:val="24"/>
          <w:szCs w:val="24"/>
        </w:rPr>
        <w:t>11</w:t>
      </w:r>
      <w:r w:rsidRPr="00580BD2">
        <w:rPr>
          <w:rFonts w:cs="Arial"/>
          <w:sz w:val="24"/>
          <w:szCs w:val="24"/>
        </w:rPr>
        <w:t xml:space="preserve"> deaths classified as unexpected accounted for </w:t>
      </w:r>
      <w:r w:rsidR="00583092">
        <w:rPr>
          <w:rFonts w:cs="Arial"/>
          <w:sz w:val="24"/>
          <w:szCs w:val="24"/>
        </w:rPr>
        <w:t>32</w:t>
      </w:r>
      <w:r w:rsidR="002B5282">
        <w:rPr>
          <w:rFonts w:cs="Arial"/>
          <w:sz w:val="24"/>
          <w:szCs w:val="24"/>
        </w:rPr>
        <w:t>.4</w:t>
      </w:r>
      <w:r w:rsidRPr="00580BD2">
        <w:rPr>
          <w:rFonts w:cs="Arial"/>
          <w:sz w:val="24"/>
          <w:szCs w:val="24"/>
        </w:rPr>
        <w:t xml:space="preserve">% of </w:t>
      </w:r>
      <w:r w:rsidR="00583092">
        <w:rPr>
          <w:rFonts w:cs="Arial"/>
          <w:sz w:val="24"/>
          <w:szCs w:val="24"/>
        </w:rPr>
        <w:t>the</w:t>
      </w:r>
      <w:r w:rsidRPr="00580BD2">
        <w:rPr>
          <w:rFonts w:cs="Arial"/>
          <w:sz w:val="24"/>
          <w:szCs w:val="24"/>
        </w:rPr>
        <w:t xml:space="preserve"> Sandwell child deaths </w:t>
      </w:r>
      <w:r w:rsidR="00583092">
        <w:rPr>
          <w:rFonts w:cs="Arial"/>
          <w:sz w:val="24"/>
          <w:szCs w:val="24"/>
        </w:rPr>
        <w:t>(34)</w:t>
      </w:r>
      <w:r w:rsidRPr="00580BD2">
        <w:rPr>
          <w:rFonts w:cs="Arial"/>
          <w:sz w:val="24"/>
          <w:szCs w:val="24"/>
        </w:rPr>
        <w:t xml:space="preserve"> </w:t>
      </w:r>
      <w:r w:rsidR="002B5282">
        <w:rPr>
          <w:rFonts w:cs="Arial"/>
          <w:sz w:val="24"/>
          <w:szCs w:val="24"/>
        </w:rPr>
        <w:t xml:space="preserve">notified to the Black Country Child Death Overview Panel </w:t>
      </w:r>
      <w:r w:rsidRPr="00580BD2">
        <w:rPr>
          <w:rFonts w:cs="Arial"/>
          <w:sz w:val="24"/>
          <w:szCs w:val="24"/>
        </w:rPr>
        <w:t>in 20</w:t>
      </w:r>
      <w:r w:rsidR="002B5282">
        <w:rPr>
          <w:rFonts w:cs="Arial"/>
          <w:sz w:val="24"/>
          <w:szCs w:val="24"/>
        </w:rPr>
        <w:t>20/21</w:t>
      </w:r>
      <w:r w:rsidRPr="00580BD2">
        <w:rPr>
          <w:rFonts w:cs="Arial"/>
          <w:sz w:val="24"/>
          <w:szCs w:val="24"/>
        </w:rPr>
        <w:t xml:space="preserve">.  In 2018/19, the majority of </w:t>
      </w:r>
      <w:r w:rsidR="00002B43">
        <w:rPr>
          <w:rFonts w:cs="Arial"/>
          <w:sz w:val="24"/>
          <w:szCs w:val="24"/>
        </w:rPr>
        <w:t>the 8</w:t>
      </w:r>
      <w:r w:rsidRPr="00580BD2">
        <w:rPr>
          <w:rFonts w:cs="Arial"/>
          <w:sz w:val="24"/>
          <w:szCs w:val="24"/>
        </w:rPr>
        <w:t xml:space="preserve"> unexpected deaths occurred in children aged 1 year and under (62.5%) below the average for all child deaths (84%).</w:t>
      </w:r>
    </w:p>
    <w:p w14:paraId="0E1FBE77" w14:textId="5287EACC" w:rsidR="00003903" w:rsidRDefault="00003903" w:rsidP="00003903">
      <w:pPr>
        <w:spacing w:after="160" w:line="259" w:lineRule="auto"/>
        <w:rPr>
          <w:rFonts w:cs="Arial"/>
          <w:b/>
          <w:sz w:val="24"/>
          <w:szCs w:val="24"/>
        </w:rPr>
      </w:pPr>
    </w:p>
    <w:p w14:paraId="72DA8710" w14:textId="77777777" w:rsidR="00003903" w:rsidRPr="00F86761" w:rsidRDefault="00003903" w:rsidP="00003903">
      <w:pPr>
        <w:rPr>
          <w:rFonts w:cs="Arial"/>
          <w:b/>
          <w:bCs/>
          <w:sz w:val="24"/>
          <w:szCs w:val="24"/>
          <w:lang w:val="en-US"/>
        </w:rPr>
      </w:pPr>
      <w:r w:rsidRPr="00F86761">
        <w:rPr>
          <w:rFonts w:cs="Arial"/>
          <w:b/>
          <w:sz w:val="24"/>
          <w:szCs w:val="24"/>
        </w:rPr>
        <w:t xml:space="preserve">Figure 3.11: </w:t>
      </w:r>
      <w:r w:rsidRPr="00F86761">
        <w:rPr>
          <w:rFonts w:cs="Arial"/>
          <w:b/>
          <w:bCs/>
          <w:sz w:val="24"/>
          <w:szCs w:val="24"/>
          <w:lang w:val="en-US"/>
        </w:rPr>
        <w:t>Age of Child at Time of Death - Unexpected Deaths 2018/19</w:t>
      </w:r>
    </w:p>
    <w:p w14:paraId="447C549E" w14:textId="77777777" w:rsidR="00003903" w:rsidRPr="00580BD2" w:rsidRDefault="00003903" w:rsidP="00003903">
      <w:pPr>
        <w:rPr>
          <w:rFonts w:cs="Arial"/>
          <w:color w:val="FF0000"/>
          <w:sz w:val="24"/>
          <w:szCs w:val="24"/>
        </w:rPr>
      </w:pPr>
      <w:r w:rsidRPr="00580BD2">
        <w:rPr>
          <w:noProof/>
          <w:sz w:val="24"/>
          <w:szCs w:val="24"/>
        </w:rPr>
        <w:drawing>
          <wp:inline distT="0" distB="0" distL="0" distR="0" wp14:anchorId="04CC34B1" wp14:editId="64D41DD1">
            <wp:extent cx="5130800" cy="3073400"/>
            <wp:effectExtent l="0" t="0" r="12700" b="12700"/>
            <wp:docPr id="27" name="Chart 27">
              <a:extLst xmlns:a="http://schemas.openxmlformats.org/drawingml/2006/main">
                <a:ext uri="{FF2B5EF4-FFF2-40B4-BE49-F238E27FC236}">
                  <a16:creationId xmlns:a16="http://schemas.microsoft.com/office/drawing/2014/main" id="{361CDE84-15B4-4801-A426-72E334C76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0C70923" w14:textId="77777777" w:rsidR="00003903" w:rsidRPr="00580BD2" w:rsidRDefault="00003903" w:rsidP="00003903">
      <w:pPr>
        <w:spacing w:after="200" w:line="276" w:lineRule="auto"/>
        <w:rPr>
          <w:rFonts w:cs="Arial"/>
          <w:color w:val="FF0000"/>
          <w:sz w:val="24"/>
          <w:szCs w:val="24"/>
        </w:rPr>
      </w:pPr>
      <w:r w:rsidRPr="00580BD2">
        <w:rPr>
          <w:rFonts w:cs="Arial"/>
          <w:sz w:val="24"/>
          <w:szCs w:val="24"/>
        </w:rPr>
        <w:t>Source:  Sandwell Child Death Overview Panel (CDOP) Annual Report 2018-19</w:t>
      </w:r>
    </w:p>
    <w:p w14:paraId="1EB67875" w14:textId="77777777" w:rsidR="00003903" w:rsidRPr="00580BD2" w:rsidRDefault="00003903" w:rsidP="00003903">
      <w:pPr>
        <w:rPr>
          <w:rFonts w:cs="Arial"/>
          <w:sz w:val="24"/>
          <w:szCs w:val="24"/>
        </w:rPr>
      </w:pPr>
    </w:p>
    <w:p w14:paraId="5937D3FA" w14:textId="77777777" w:rsidR="00003903" w:rsidRPr="00580BD2" w:rsidRDefault="00003903" w:rsidP="00003903">
      <w:pPr>
        <w:pStyle w:val="Heading3"/>
      </w:pPr>
      <w:r w:rsidRPr="00580BD2">
        <w:t>Modifiable Factors</w:t>
      </w:r>
    </w:p>
    <w:p w14:paraId="4DCC15DB" w14:textId="12A0DE3C" w:rsidR="00003903" w:rsidRDefault="00003903" w:rsidP="00003903">
      <w:pPr>
        <w:rPr>
          <w:rFonts w:cs="Arial"/>
          <w:sz w:val="24"/>
          <w:szCs w:val="24"/>
        </w:rPr>
      </w:pPr>
      <w:r w:rsidRPr="00580BD2">
        <w:rPr>
          <w:rFonts w:cs="Arial"/>
          <w:sz w:val="24"/>
          <w:szCs w:val="24"/>
        </w:rPr>
        <w:t>It is a primary function of CDOP to identify areas of practice, both operationally and strategically, to be developed as a result of reviewing child deaths.  Within the 44 child deaths reviewed during 2018/19, 12 were identified as having modifiable factors by the CDOP panel members.  Advice given with the aim of preventing similar deaths included; smoking in pregnancy and in the home, alcohol abuse in parents/carers, co-sleeping and consanguinity.</w:t>
      </w:r>
    </w:p>
    <w:p w14:paraId="407A53E7" w14:textId="77777777" w:rsidR="00C37A78" w:rsidRDefault="00C37A78" w:rsidP="00003903">
      <w:pPr>
        <w:rPr>
          <w:rFonts w:cs="Arial"/>
          <w:sz w:val="24"/>
          <w:szCs w:val="24"/>
        </w:rPr>
      </w:pPr>
    </w:p>
    <w:p w14:paraId="2DC17781" w14:textId="267106DB" w:rsidR="00003903" w:rsidRDefault="00003903" w:rsidP="005B1F6D">
      <w:pPr>
        <w:pStyle w:val="Heading2"/>
      </w:pPr>
      <w:r>
        <w:t xml:space="preserve">Inclusion Support Early Years and Child Development Centre - </w:t>
      </w:r>
      <w:r w:rsidRPr="006D14F9">
        <w:t>Special Education Needs &amp; Disabilities</w:t>
      </w:r>
    </w:p>
    <w:p w14:paraId="72125B9D" w14:textId="3D6CEB33" w:rsidR="00003903" w:rsidRPr="001B52F4" w:rsidRDefault="00003903" w:rsidP="00003903">
      <w:pPr>
        <w:pStyle w:val="Heading3"/>
        <w:rPr>
          <w:rFonts w:cstheme="minorHAnsi"/>
          <w:bCs/>
        </w:rPr>
      </w:pPr>
      <w:r w:rsidRPr="00402EAF">
        <w:t xml:space="preserve">Introduction </w:t>
      </w:r>
      <w:r>
        <w:br/>
      </w:r>
      <w:r w:rsidRPr="001B52F4">
        <w:rPr>
          <w:rFonts w:cstheme="minorHAnsi"/>
          <w:color w:val="auto"/>
        </w:rPr>
        <w:t>The ‘</w:t>
      </w:r>
      <w:hyperlink r:id="rId82" w:history="1">
        <w:r w:rsidRPr="001B52F4">
          <w:rPr>
            <w:rFonts w:cstheme="minorHAnsi"/>
            <w:color w:val="auto"/>
          </w:rPr>
          <w:t>Special educational needs and disability code of practice: 0 to 25 years 2015’</w:t>
        </w:r>
      </w:hyperlink>
      <w:r w:rsidRPr="001B52F4">
        <w:rPr>
          <w:rFonts w:cstheme="minorHAnsi"/>
          <w:color w:val="auto"/>
        </w:rPr>
        <w:t xml:space="preserve"> provides statutory guidance for  organisations which work with and support children and young people who have special educational needs or disabilities.  This code of practice provides guidance to fulfil the requirements set out in the Children and Families Act 2014, The Equality Act 2010 and the Statutory Framework for the Early Years Foundation Stage and the Special Educational Needs and Disability Regulations 2014.</w:t>
      </w:r>
    </w:p>
    <w:p w14:paraId="45518860" w14:textId="77777777" w:rsidR="00003903" w:rsidRPr="001B52F4" w:rsidRDefault="00003903" w:rsidP="00003903">
      <w:pPr>
        <w:spacing w:before="100" w:beforeAutospacing="1" w:after="100" w:afterAutospacing="1" w:line="240" w:lineRule="auto"/>
        <w:jc w:val="both"/>
        <w:rPr>
          <w:rFonts w:eastAsia="Times New Roman" w:cstheme="minorHAnsi"/>
          <w:sz w:val="24"/>
          <w:szCs w:val="24"/>
          <w:lang w:val="en" w:eastAsia="en-GB"/>
        </w:rPr>
      </w:pPr>
      <w:r w:rsidRPr="001B52F4">
        <w:rPr>
          <w:rFonts w:eastAsia="Times New Roman" w:cstheme="minorHAnsi"/>
          <w:sz w:val="24"/>
          <w:szCs w:val="24"/>
          <w:lang w:val="en" w:eastAsia="en-GB"/>
        </w:rPr>
        <w:t>Special educational needs and disabilities (SEND) can affect a child or young person’s ability to learn. It can affect their behavior or ability to socialise; reading and writing abilities; ability to understand things; concentration levels and physical ability.</w:t>
      </w:r>
    </w:p>
    <w:p w14:paraId="63E9ABE8" w14:textId="77777777" w:rsidR="00003903" w:rsidRPr="00A253AE" w:rsidRDefault="00003903" w:rsidP="00003903">
      <w:pPr>
        <w:spacing w:before="100" w:beforeAutospacing="1" w:after="100" w:afterAutospacing="1" w:line="240" w:lineRule="auto"/>
        <w:jc w:val="both"/>
        <w:rPr>
          <w:rFonts w:eastAsia="Times New Roman" w:cstheme="minorHAnsi"/>
          <w:color w:val="333333"/>
          <w:sz w:val="24"/>
          <w:szCs w:val="24"/>
          <w:lang w:val="en" w:eastAsia="en-GB"/>
        </w:rPr>
      </w:pPr>
      <w:r w:rsidRPr="00A253AE">
        <w:rPr>
          <w:rFonts w:eastAsia="Times New Roman" w:cstheme="minorHAnsi"/>
          <w:color w:val="333333"/>
          <w:sz w:val="24"/>
          <w:szCs w:val="24"/>
          <w:lang w:val="en" w:eastAsia="en-GB"/>
        </w:rPr>
        <w:t xml:space="preserve">Inclusion support is a service that works across Sandwell to improve the education, learning, development and mental health and wellbeing of all children and young people (ages 0-25) with a focus on those who are vulnerable and / or have special educational needs.  It is a multi-agency service that provides assessment and intervention, specialist teaching, advice, consultation, information and support for parents, carers, schools and other educational settings.  </w:t>
      </w:r>
    </w:p>
    <w:p w14:paraId="18D2B110" w14:textId="47EA304C" w:rsidR="00003903" w:rsidRPr="00885EF3" w:rsidRDefault="00003903" w:rsidP="008B593F">
      <w:pPr>
        <w:spacing w:before="100" w:beforeAutospacing="1" w:after="100" w:afterAutospacing="1" w:line="240" w:lineRule="auto"/>
        <w:jc w:val="both"/>
      </w:pPr>
      <w:r w:rsidRPr="00A253AE">
        <w:rPr>
          <w:rFonts w:cstheme="minorHAnsi"/>
          <w:color w:val="333333"/>
          <w:sz w:val="24"/>
          <w:szCs w:val="24"/>
          <w:lang w:val="en"/>
        </w:rPr>
        <w:t xml:space="preserve">The </w:t>
      </w:r>
      <w:r w:rsidR="008B593F">
        <w:rPr>
          <w:rFonts w:cstheme="minorHAnsi"/>
          <w:color w:val="333333"/>
          <w:sz w:val="24"/>
          <w:szCs w:val="24"/>
          <w:lang w:val="en"/>
        </w:rPr>
        <w:t xml:space="preserve">services covered by the </w:t>
      </w:r>
      <w:r w:rsidRPr="00A253AE">
        <w:rPr>
          <w:rFonts w:cstheme="minorHAnsi"/>
          <w:color w:val="333333"/>
          <w:sz w:val="24"/>
          <w:szCs w:val="24"/>
          <w:lang w:val="en"/>
        </w:rPr>
        <w:t>multi</w:t>
      </w:r>
      <w:r w:rsidR="008B593F">
        <w:rPr>
          <w:rFonts w:cstheme="minorHAnsi"/>
          <w:color w:val="333333"/>
          <w:sz w:val="24"/>
          <w:szCs w:val="24"/>
          <w:lang w:val="en"/>
        </w:rPr>
        <w:t>-</w:t>
      </w:r>
      <w:r w:rsidRPr="00A253AE">
        <w:rPr>
          <w:rFonts w:cstheme="minorHAnsi"/>
          <w:color w:val="333333"/>
          <w:sz w:val="24"/>
          <w:szCs w:val="24"/>
          <w:lang w:val="en"/>
        </w:rPr>
        <w:t>agency team</w:t>
      </w:r>
      <w:r w:rsidR="008B593F">
        <w:rPr>
          <w:rFonts w:cstheme="minorHAnsi"/>
          <w:color w:val="333333"/>
          <w:sz w:val="24"/>
          <w:szCs w:val="24"/>
          <w:lang w:val="en"/>
        </w:rPr>
        <w:t xml:space="preserve"> are outlined in Chapter 5. </w:t>
      </w:r>
      <w:r w:rsidRPr="00A253AE">
        <w:rPr>
          <w:rFonts w:cstheme="minorHAnsi"/>
          <w:color w:val="333333"/>
          <w:sz w:val="24"/>
          <w:szCs w:val="24"/>
          <w:lang w:val="en"/>
        </w:rPr>
        <w:t xml:space="preserve"> </w:t>
      </w:r>
    </w:p>
    <w:p w14:paraId="4F87FFFC" w14:textId="77777777" w:rsidR="008B593F" w:rsidRDefault="008B593F" w:rsidP="005B1F6D">
      <w:pPr>
        <w:pStyle w:val="Heading2"/>
      </w:pPr>
    </w:p>
    <w:p w14:paraId="08C465A6" w14:textId="44BADB9D" w:rsidR="00003903" w:rsidRPr="00BD73D9" w:rsidRDefault="00003903" w:rsidP="005B1F6D">
      <w:pPr>
        <w:pStyle w:val="Heading2"/>
      </w:pPr>
      <w:r w:rsidRPr="00BD73D9">
        <w:t>Special Educational Needs &amp; Disabilities (SEND) in Sandwell</w:t>
      </w:r>
    </w:p>
    <w:p w14:paraId="717C5410" w14:textId="77777777" w:rsidR="00003903" w:rsidRPr="00BF3255" w:rsidRDefault="00003903" w:rsidP="00003903">
      <w:pPr>
        <w:rPr>
          <w:rFonts w:cstheme="minorHAnsi"/>
          <w:sz w:val="24"/>
          <w:szCs w:val="24"/>
        </w:rPr>
      </w:pPr>
      <w:r w:rsidRPr="00BF3255">
        <w:rPr>
          <w:rFonts w:cstheme="minorHAnsi"/>
          <w:sz w:val="24"/>
          <w:szCs w:val="24"/>
        </w:rPr>
        <w:t xml:space="preserve">In 2018-19, 389 children aged 0-5 were known to Sandwell Inclusion Support Early Years (ISEY) </w:t>
      </w:r>
      <w:r>
        <w:rPr>
          <w:rFonts w:cstheme="minorHAnsi"/>
          <w:sz w:val="24"/>
          <w:szCs w:val="24"/>
        </w:rPr>
        <w:t xml:space="preserve">and Child Development Centre </w:t>
      </w:r>
      <w:r w:rsidRPr="00BF3255">
        <w:rPr>
          <w:rFonts w:cstheme="minorHAnsi"/>
          <w:sz w:val="24"/>
          <w:szCs w:val="24"/>
        </w:rPr>
        <w:t>service with SEND.   346 from Sandwell and 43 out of Sandwell. This is a rate of 11.8 children for every 1000 children in Sandwell aged 0-5 years old.</w:t>
      </w:r>
    </w:p>
    <w:p w14:paraId="49B1E3F2" w14:textId="77777777" w:rsidR="00003903" w:rsidRPr="00BF3255" w:rsidRDefault="00003903" w:rsidP="00003903">
      <w:pPr>
        <w:rPr>
          <w:rFonts w:cstheme="minorHAnsi"/>
          <w:sz w:val="24"/>
          <w:szCs w:val="24"/>
        </w:rPr>
      </w:pPr>
      <w:r w:rsidRPr="00BF3255">
        <w:rPr>
          <w:rFonts w:cstheme="minorHAnsi"/>
          <w:sz w:val="24"/>
          <w:szCs w:val="24"/>
        </w:rPr>
        <w:t xml:space="preserve">Although not a continuous increase over the past five years, 2018-19 has seen an increase of 29% since the previous year.  </w:t>
      </w:r>
    </w:p>
    <w:p w14:paraId="488297C0" w14:textId="77777777" w:rsidR="00003903" w:rsidRDefault="00003903" w:rsidP="00003903">
      <w:pPr>
        <w:rPr>
          <w:rFonts w:cs="Arial"/>
          <w:b/>
          <w:sz w:val="24"/>
          <w:szCs w:val="24"/>
        </w:rPr>
      </w:pPr>
    </w:p>
    <w:p w14:paraId="6E2389E5" w14:textId="77777777" w:rsidR="008B593F" w:rsidRDefault="008B593F">
      <w:pPr>
        <w:spacing w:after="160" w:line="259" w:lineRule="auto"/>
        <w:rPr>
          <w:rFonts w:cs="Arial"/>
          <w:b/>
          <w:sz w:val="24"/>
          <w:szCs w:val="24"/>
        </w:rPr>
      </w:pPr>
      <w:r>
        <w:rPr>
          <w:rFonts w:cs="Arial"/>
          <w:b/>
          <w:sz w:val="24"/>
          <w:szCs w:val="24"/>
        </w:rPr>
        <w:br w:type="page"/>
      </w:r>
    </w:p>
    <w:p w14:paraId="55047C9C" w14:textId="29C46355" w:rsidR="00003903" w:rsidRPr="00737B8C" w:rsidRDefault="00003903" w:rsidP="00003903">
      <w:pPr>
        <w:rPr>
          <w:rFonts w:asciiTheme="majorHAnsi" w:hAnsiTheme="majorHAnsi" w:cstheme="majorHAnsi"/>
          <w:sz w:val="24"/>
          <w:szCs w:val="24"/>
        </w:rPr>
      </w:pPr>
      <w:r>
        <w:rPr>
          <w:rFonts w:cs="Arial"/>
          <w:b/>
          <w:sz w:val="24"/>
          <w:szCs w:val="24"/>
        </w:rPr>
        <w:t>Figure</w:t>
      </w:r>
      <w:r w:rsidRPr="00F86761">
        <w:rPr>
          <w:rFonts w:cs="Arial"/>
          <w:b/>
          <w:sz w:val="24"/>
          <w:szCs w:val="24"/>
        </w:rPr>
        <w:t xml:space="preserve"> 3.1</w:t>
      </w:r>
      <w:r>
        <w:rPr>
          <w:rFonts w:cs="Arial"/>
          <w:b/>
          <w:sz w:val="24"/>
          <w:szCs w:val="24"/>
        </w:rPr>
        <w:t>2</w:t>
      </w:r>
      <w:r w:rsidRPr="00F86761">
        <w:rPr>
          <w:rFonts w:cs="Arial"/>
          <w:b/>
          <w:sz w:val="24"/>
          <w:szCs w:val="24"/>
        </w:rPr>
        <w:t xml:space="preserve">: </w:t>
      </w:r>
      <w:r w:rsidRPr="00737B8C">
        <w:rPr>
          <w:rFonts w:cs="Arial"/>
          <w:b/>
          <w:sz w:val="24"/>
          <w:szCs w:val="24"/>
        </w:rPr>
        <w:t>Sandwell ISEY</w:t>
      </w:r>
      <w:r>
        <w:rPr>
          <w:rFonts w:cs="Arial"/>
          <w:b/>
          <w:sz w:val="24"/>
          <w:szCs w:val="24"/>
        </w:rPr>
        <w:t xml:space="preserve"> &amp; CDC: No.</w:t>
      </w:r>
      <w:r w:rsidRPr="00737B8C">
        <w:rPr>
          <w:rFonts w:cs="Arial"/>
          <w:b/>
          <w:sz w:val="24"/>
          <w:szCs w:val="24"/>
        </w:rPr>
        <w:t xml:space="preserve"> of </w:t>
      </w:r>
      <w:r>
        <w:rPr>
          <w:rFonts w:cs="Arial"/>
          <w:b/>
          <w:sz w:val="24"/>
          <w:szCs w:val="24"/>
        </w:rPr>
        <w:t>c</w:t>
      </w:r>
      <w:r w:rsidRPr="00737B8C">
        <w:rPr>
          <w:rFonts w:cs="Arial"/>
          <w:b/>
          <w:sz w:val="24"/>
          <w:szCs w:val="24"/>
        </w:rPr>
        <w:t xml:space="preserve">hildren with </w:t>
      </w:r>
      <w:r>
        <w:rPr>
          <w:rFonts w:cs="Arial"/>
          <w:b/>
          <w:sz w:val="24"/>
          <w:szCs w:val="24"/>
        </w:rPr>
        <w:t>S</w:t>
      </w:r>
      <w:r w:rsidRPr="00737B8C">
        <w:rPr>
          <w:rFonts w:cs="Arial"/>
          <w:b/>
          <w:sz w:val="24"/>
          <w:szCs w:val="24"/>
        </w:rPr>
        <w:t>pecial Educationa</w:t>
      </w:r>
      <w:r>
        <w:rPr>
          <w:rFonts w:cs="Arial"/>
          <w:b/>
          <w:sz w:val="24"/>
          <w:szCs w:val="24"/>
        </w:rPr>
        <w:t>l</w:t>
      </w:r>
      <w:r w:rsidRPr="00737B8C">
        <w:rPr>
          <w:rFonts w:cs="Arial"/>
          <w:b/>
          <w:sz w:val="24"/>
          <w:szCs w:val="24"/>
        </w:rPr>
        <w:t xml:space="preserve"> Needs</w:t>
      </w:r>
      <w:r>
        <w:rPr>
          <w:rFonts w:cs="Arial"/>
          <w:b/>
          <w:sz w:val="24"/>
          <w:szCs w:val="24"/>
        </w:rPr>
        <w:t xml:space="preserve"> (</w:t>
      </w:r>
      <w:r w:rsidRPr="00737B8C">
        <w:rPr>
          <w:rFonts w:cs="Arial"/>
          <w:b/>
          <w:sz w:val="24"/>
          <w:szCs w:val="24"/>
        </w:rPr>
        <w:t>0-5 years old</w:t>
      </w:r>
      <w:r>
        <w:rPr>
          <w:rFonts w:cs="Arial"/>
          <w:b/>
          <w:sz w:val="24"/>
          <w:szCs w:val="24"/>
        </w:rPr>
        <w:t>)</w:t>
      </w:r>
    </w:p>
    <w:p w14:paraId="282D610A" w14:textId="77777777" w:rsidR="00003903" w:rsidRPr="00E75BAF" w:rsidRDefault="00003903" w:rsidP="00003903">
      <w:pPr>
        <w:rPr>
          <w:sz w:val="24"/>
          <w:szCs w:val="24"/>
        </w:rPr>
      </w:pPr>
      <w:r w:rsidRPr="00E75BAF">
        <w:rPr>
          <w:noProof/>
          <w:sz w:val="24"/>
          <w:szCs w:val="24"/>
        </w:rPr>
        <w:drawing>
          <wp:inline distT="0" distB="0" distL="0" distR="0" wp14:anchorId="1EC9DF42" wp14:editId="3888CB9E">
            <wp:extent cx="5613400" cy="3379470"/>
            <wp:effectExtent l="0" t="0" r="6350" b="11430"/>
            <wp:docPr id="18" name="Chart 18">
              <a:extLst xmlns:a="http://schemas.openxmlformats.org/drawingml/2006/main">
                <a:ext uri="{FF2B5EF4-FFF2-40B4-BE49-F238E27FC236}">
                  <a16:creationId xmlns:a16="http://schemas.microsoft.com/office/drawing/2014/main" id="{A9A77524-3A7A-418B-AC0B-FF124FB7C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FF0737A" w14:textId="77777777" w:rsidR="00003903" w:rsidRPr="00737B8C" w:rsidRDefault="00003903" w:rsidP="00003903">
      <w:pPr>
        <w:rPr>
          <w:sz w:val="24"/>
          <w:szCs w:val="24"/>
        </w:rPr>
      </w:pPr>
      <w:r w:rsidRPr="00737B8C">
        <w:rPr>
          <w:sz w:val="24"/>
          <w:szCs w:val="24"/>
        </w:rPr>
        <w:t>Source: Sandwell MBC ISEY</w:t>
      </w:r>
      <w:r>
        <w:rPr>
          <w:sz w:val="24"/>
          <w:szCs w:val="24"/>
        </w:rPr>
        <w:t xml:space="preserve"> &amp; CDC</w:t>
      </w:r>
    </w:p>
    <w:p w14:paraId="768B0E05" w14:textId="77777777" w:rsidR="00003903" w:rsidRPr="00BD73D9" w:rsidRDefault="00003903" w:rsidP="00003903">
      <w:pPr>
        <w:rPr>
          <w:rFonts w:asciiTheme="majorHAnsi" w:hAnsiTheme="majorHAnsi" w:cstheme="majorHAnsi"/>
          <w:sz w:val="24"/>
          <w:szCs w:val="24"/>
        </w:rPr>
      </w:pPr>
    </w:p>
    <w:p w14:paraId="4FA5DC03" w14:textId="77777777" w:rsidR="00003903" w:rsidRPr="003B5806" w:rsidRDefault="00003903" w:rsidP="00003903">
      <w:pPr>
        <w:pStyle w:val="ListParagraph"/>
        <w:ind w:left="0"/>
        <w:rPr>
          <w:rFonts w:cstheme="minorHAnsi"/>
          <w:sz w:val="24"/>
          <w:szCs w:val="24"/>
        </w:rPr>
      </w:pPr>
      <w:r w:rsidRPr="003B5806">
        <w:rPr>
          <w:rFonts w:cstheme="minorHAnsi"/>
          <w:sz w:val="24"/>
          <w:szCs w:val="24"/>
        </w:rPr>
        <w:t>Like national trends</w:t>
      </w:r>
      <w:r w:rsidRPr="003B5806">
        <w:rPr>
          <w:rStyle w:val="FootnoteReference"/>
          <w:rFonts w:cstheme="minorHAnsi"/>
          <w:sz w:val="24"/>
          <w:szCs w:val="24"/>
        </w:rPr>
        <w:footnoteReference w:id="4"/>
      </w:r>
      <w:r w:rsidRPr="003B5806">
        <w:rPr>
          <w:rFonts w:cstheme="minorHAnsi"/>
          <w:sz w:val="24"/>
          <w:szCs w:val="24"/>
        </w:rPr>
        <w:t>, boys have historically been known to inclusion support services more than girls.  69% of the caseloads consist of boys and 31% girls.  Similar proportions have been seen in previous years</w:t>
      </w:r>
      <w:r>
        <w:rPr>
          <w:rFonts w:cstheme="minorHAnsi"/>
          <w:sz w:val="24"/>
          <w:szCs w:val="24"/>
        </w:rPr>
        <w:t xml:space="preserve"> (s</w:t>
      </w:r>
      <w:r w:rsidRPr="003B5806">
        <w:rPr>
          <w:rFonts w:cstheme="minorHAnsi"/>
          <w:sz w:val="24"/>
          <w:szCs w:val="24"/>
        </w:rPr>
        <w:t>ee figure 3.12 above)</w:t>
      </w:r>
      <w:r>
        <w:rPr>
          <w:rFonts w:cstheme="minorHAnsi"/>
          <w:sz w:val="24"/>
          <w:szCs w:val="24"/>
        </w:rPr>
        <w:t>.</w:t>
      </w:r>
    </w:p>
    <w:p w14:paraId="28F64538" w14:textId="77777777" w:rsidR="00003903" w:rsidRDefault="00003903" w:rsidP="00003903">
      <w:pPr>
        <w:pStyle w:val="Heading3"/>
      </w:pPr>
      <w:r>
        <w:br/>
      </w:r>
    </w:p>
    <w:p w14:paraId="0ACA3EED" w14:textId="77777777" w:rsidR="00003903" w:rsidRDefault="00003903" w:rsidP="00003903"/>
    <w:p w14:paraId="0BDCCBD0" w14:textId="77777777" w:rsidR="00003903" w:rsidRDefault="00003903" w:rsidP="00003903"/>
    <w:p w14:paraId="0AE4C2F9" w14:textId="77777777" w:rsidR="009073AE" w:rsidRDefault="009073AE">
      <w:pPr>
        <w:spacing w:after="160" w:line="259" w:lineRule="auto"/>
        <w:rPr>
          <w:rFonts w:cs="Arial"/>
          <w:b/>
          <w:sz w:val="24"/>
          <w:szCs w:val="24"/>
        </w:rPr>
      </w:pPr>
      <w:r>
        <w:rPr>
          <w:rFonts w:cs="Arial"/>
          <w:b/>
          <w:sz w:val="24"/>
          <w:szCs w:val="24"/>
        </w:rPr>
        <w:br w:type="page"/>
      </w:r>
    </w:p>
    <w:p w14:paraId="3083A981" w14:textId="121A02A9" w:rsidR="00003903" w:rsidRPr="003B5806" w:rsidRDefault="00003903" w:rsidP="00003903">
      <w:pPr>
        <w:rPr>
          <w:rFonts w:cs="Arial"/>
          <w:b/>
          <w:sz w:val="24"/>
          <w:szCs w:val="24"/>
        </w:rPr>
      </w:pPr>
      <w:r>
        <w:rPr>
          <w:rFonts w:cs="Arial"/>
          <w:b/>
          <w:sz w:val="24"/>
          <w:szCs w:val="24"/>
        </w:rPr>
        <w:t>Figure</w:t>
      </w:r>
      <w:r w:rsidRPr="00F86761">
        <w:rPr>
          <w:rFonts w:cs="Arial"/>
          <w:b/>
          <w:sz w:val="24"/>
          <w:szCs w:val="24"/>
        </w:rPr>
        <w:t xml:space="preserve"> 3.1</w:t>
      </w:r>
      <w:r w:rsidR="009073AE">
        <w:rPr>
          <w:rFonts w:cs="Arial"/>
          <w:b/>
          <w:sz w:val="24"/>
          <w:szCs w:val="24"/>
        </w:rPr>
        <w:t>3</w:t>
      </w:r>
      <w:r w:rsidRPr="00F86761">
        <w:rPr>
          <w:rFonts w:cs="Arial"/>
          <w:b/>
          <w:sz w:val="24"/>
          <w:szCs w:val="24"/>
        </w:rPr>
        <w:t>:</w:t>
      </w:r>
      <w:r>
        <w:rPr>
          <w:rFonts w:cs="Arial"/>
          <w:b/>
          <w:sz w:val="24"/>
          <w:szCs w:val="24"/>
        </w:rPr>
        <w:t xml:space="preserve"> </w:t>
      </w:r>
      <w:r w:rsidRPr="00737B8C">
        <w:rPr>
          <w:rFonts w:cs="Arial"/>
          <w:b/>
          <w:sz w:val="24"/>
          <w:szCs w:val="24"/>
        </w:rPr>
        <w:t>Sandwell ISEY</w:t>
      </w:r>
      <w:r>
        <w:rPr>
          <w:rFonts w:cs="Arial"/>
          <w:b/>
          <w:sz w:val="24"/>
          <w:szCs w:val="24"/>
        </w:rPr>
        <w:t xml:space="preserve"> &amp; CDC: %</w:t>
      </w:r>
      <w:r w:rsidRPr="003B5806">
        <w:rPr>
          <w:rFonts w:cs="Arial"/>
          <w:b/>
          <w:sz w:val="24"/>
          <w:szCs w:val="24"/>
        </w:rPr>
        <w:t xml:space="preserve"> of Children </w:t>
      </w:r>
      <w:r>
        <w:rPr>
          <w:rFonts w:cs="Arial"/>
          <w:b/>
          <w:sz w:val="24"/>
          <w:szCs w:val="24"/>
        </w:rPr>
        <w:t xml:space="preserve">with SEN </w:t>
      </w:r>
      <w:r w:rsidRPr="003B5806">
        <w:rPr>
          <w:rFonts w:cs="Arial"/>
          <w:b/>
          <w:sz w:val="24"/>
          <w:szCs w:val="24"/>
        </w:rPr>
        <w:t>by Sandwell Town</w:t>
      </w:r>
      <w:r>
        <w:rPr>
          <w:rFonts w:cs="Arial"/>
          <w:b/>
          <w:sz w:val="24"/>
          <w:szCs w:val="24"/>
        </w:rPr>
        <w:t xml:space="preserve"> (</w:t>
      </w:r>
      <w:r w:rsidRPr="003B5806">
        <w:rPr>
          <w:rFonts w:cs="Arial"/>
          <w:b/>
          <w:sz w:val="24"/>
          <w:szCs w:val="24"/>
        </w:rPr>
        <w:t xml:space="preserve">0-5 </w:t>
      </w:r>
      <w:r>
        <w:rPr>
          <w:rFonts w:cs="Arial"/>
          <w:b/>
          <w:sz w:val="24"/>
          <w:szCs w:val="24"/>
        </w:rPr>
        <w:t>y</w:t>
      </w:r>
      <w:r w:rsidRPr="003B5806">
        <w:rPr>
          <w:rFonts w:cs="Arial"/>
          <w:b/>
          <w:sz w:val="24"/>
          <w:szCs w:val="24"/>
        </w:rPr>
        <w:t>ear olds</w:t>
      </w:r>
      <w:r>
        <w:rPr>
          <w:rFonts w:cs="Arial"/>
          <w:b/>
          <w:sz w:val="24"/>
          <w:szCs w:val="24"/>
        </w:rPr>
        <w:t>)</w:t>
      </w:r>
      <w:r w:rsidRPr="003B5806">
        <w:rPr>
          <w:rFonts w:cs="Arial"/>
          <w:b/>
          <w:sz w:val="24"/>
          <w:szCs w:val="24"/>
        </w:rPr>
        <w:t xml:space="preserve"> </w:t>
      </w:r>
    </w:p>
    <w:p w14:paraId="460A8385" w14:textId="77777777" w:rsidR="00003903" w:rsidRDefault="00003903" w:rsidP="00003903">
      <w:pPr>
        <w:rPr>
          <w:sz w:val="24"/>
          <w:szCs w:val="24"/>
        </w:rPr>
      </w:pPr>
      <w:r w:rsidRPr="00E75BAF">
        <w:rPr>
          <w:noProof/>
          <w:sz w:val="24"/>
          <w:szCs w:val="24"/>
        </w:rPr>
        <w:drawing>
          <wp:inline distT="0" distB="0" distL="0" distR="0" wp14:anchorId="67557DFA" wp14:editId="72F84D6E">
            <wp:extent cx="5613400" cy="3575050"/>
            <wp:effectExtent l="0" t="0" r="6350" b="6350"/>
            <wp:docPr id="47" name="Chart 47">
              <a:extLst xmlns:a="http://schemas.openxmlformats.org/drawingml/2006/main">
                <a:ext uri="{FF2B5EF4-FFF2-40B4-BE49-F238E27FC236}">
                  <a16:creationId xmlns:a16="http://schemas.microsoft.com/office/drawing/2014/main" id="{E188FA92-9C4B-451A-BF56-21DBB4BA1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C644E00" w14:textId="77777777" w:rsidR="00003903" w:rsidRPr="003B5806" w:rsidRDefault="00003903" w:rsidP="00003903">
      <w:pPr>
        <w:rPr>
          <w:sz w:val="24"/>
          <w:szCs w:val="24"/>
        </w:rPr>
      </w:pPr>
      <w:r w:rsidRPr="003B5806">
        <w:rPr>
          <w:sz w:val="24"/>
          <w:szCs w:val="24"/>
        </w:rPr>
        <w:t>Source: Sandwell MBC ISEY</w:t>
      </w:r>
      <w:r>
        <w:rPr>
          <w:sz w:val="24"/>
          <w:szCs w:val="24"/>
        </w:rPr>
        <w:t xml:space="preserve"> &amp; CDC</w:t>
      </w:r>
    </w:p>
    <w:p w14:paraId="4F1110D1" w14:textId="77777777" w:rsidR="00003903" w:rsidRDefault="00003903" w:rsidP="00003903">
      <w:pPr>
        <w:pStyle w:val="ListParagraph"/>
        <w:ind w:left="360"/>
        <w:rPr>
          <w:sz w:val="24"/>
          <w:szCs w:val="24"/>
        </w:rPr>
      </w:pPr>
    </w:p>
    <w:p w14:paraId="5CBF1251" w14:textId="77777777" w:rsidR="00003903" w:rsidRDefault="00003903" w:rsidP="00003903">
      <w:pPr>
        <w:pStyle w:val="ListParagraph"/>
        <w:ind w:left="360"/>
        <w:rPr>
          <w:sz w:val="24"/>
          <w:szCs w:val="24"/>
        </w:rPr>
      </w:pPr>
    </w:p>
    <w:p w14:paraId="292E98F3" w14:textId="77777777" w:rsidR="00003903" w:rsidRPr="005B1F6D" w:rsidRDefault="00003903" w:rsidP="005B1F6D">
      <w:pPr>
        <w:rPr>
          <w:rFonts w:cstheme="minorHAnsi"/>
          <w:sz w:val="24"/>
          <w:szCs w:val="24"/>
        </w:rPr>
      </w:pPr>
      <w:r w:rsidRPr="005B1F6D">
        <w:rPr>
          <w:sz w:val="24"/>
          <w:szCs w:val="24"/>
        </w:rPr>
        <w:t xml:space="preserve">As shown in figure 3.12 above, for the past three years; 2016-17, 2017-18 and 2018-19, the largest proportion of the children accessing or being referred to Sandwell ISEY services have been from West Bromwich.   However, it can be seen from figure 3.13 below, that the rate of children accessing ISEY in 2018-19 is the highest in Tipton where there is a rate of 17.0 children in every 1,000 children aged 0-5 years.  This is followed by Wednesbury and Oldbury where the rate is higher than Sandwell’s overall rate of 11.8. </w:t>
      </w:r>
      <w:r w:rsidRPr="005B1F6D">
        <w:rPr>
          <w:rFonts w:cstheme="minorHAnsi"/>
          <w:sz w:val="24"/>
          <w:szCs w:val="24"/>
        </w:rPr>
        <w:t>As a trend Oldbury and Tipton continue to have higher rates than Sandwell.</w:t>
      </w:r>
    </w:p>
    <w:p w14:paraId="7BAE6EDA" w14:textId="77777777" w:rsidR="00003903" w:rsidRDefault="00003903" w:rsidP="00003903">
      <w:pPr>
        <w:spacing w:after="160" w:line="259" w:lineRule="auto"/>
        <w:rPr>
          <w:rFonts w:cs="Arial"/>
          <w:b/>
          <w:sz w:val="24"/>
          <w:szCs w:val="24"/>
        </w:rPr>
      </w:pPr>
      <w:r>
        <w:rPr>
          <w:rFonts w:cs="Arial"/>
          <w:b/>
          <w:sz w:val="24"/>
          <w:szCs w:val="24"/>
        </w:rPr>
        <w:br w:type="page"/>
      </w:r>
    </w:p>
    <w:p w14:paraId="6DDF9375" w14:textId="3B69132A" w:rsidR="00003903" w:rsidRPr="002F6C77" w:rsidRDefault="00003903" w:rsidP="00003903">
      <w:r>
        <w:rPr>
          <w:rFonts w:cs="Arial"/>
          <w:b/>
          <w:sz w:val="24"/>
          <w:szCs w:val="24"/>
        </w:rPr>
        <w:t>Figure</w:t>
      </w:r>
      <w:r w:rsidRPr="00F86761">
        <w:rPr>
          <w:rFonts w:cs="Arial"/>
          <w:b/>
          <w:sz w:val="24"/>
          <w:szCs w:val="24"/>
        </w:rPr>
        <w:t xml:space="preserve"> 3.1</w:t>
      </w:r>
      <w:r w:rsidR="009073AE">
        <w:rPr>
          <w:rFonts w:cs="Arial"/>
          <w:b/>
          <w:sz w:val="24"/>
          <w:szCs w:val="24"/>
        </w:rPr>
        <w:t>4</w:t>
      </w:r>
      <w:r w:rsidRPr="00F86761">
        <w:rPr>
          <w:rFonts w:cs="Arial"/>
          <w:b/>
          <w:sz w:val="24"/>
          <w:szCs w:val="24"/>
        </w:rPr>
        <w:t>:</w:t>
      </w:r>
      <w:r>
        <w:rPr>
          <w:rFonts w:cs="Arial"/>
          <w:b/>
          <w:sz w:val="24"/>
          <w:szCs w:val="24"/>
        </w:rPr>
        <w:t xml:space="preserve"> </w:t>
      </w:r>
      <w:r w:rsidRPr="00737B8C">
        <w:rPr>
          <w:rFonts w:cs="Arial"/>
          <w:b/>
          <w:sz w:val="24"/>
          <w:szCs w:val="24"/>
        </w:rPr>
        <w:t>Sandwell ISEY</w:t>
      </w:r>
      <w:r>
        <w:rPr>
          <w:rFonts w:cs="Arial"/>
          <w:b/>
          <w:sz w:val="24"/>
          <w:szCs w:val="24"/>
        </w:rPr>
        <w:t xml:space="preserve"> &amp; CDC</w:t>
      </w:r>
      <w:r w:rsidRPr="003B5806">
        <w:rPr>
          <w:rFonts w:cs="Arial"/>
          <w:b/>
          <w:sz w:val="24"/>
          <w:szCs w:val="24"/>
        </w:rPr>
        <w:t>: Children with SEN by Sandwell Town (Rate per 1,000 children</w:t>
      </w:r>
      <w:r>
        <w:rPr>
          <w:rFonts w:cs="Arial"/>
          <w:b/>
          <w:sz w:val="24"/>
          <w:szCs w:val="24"/>
        </w:rPr>
        <w:t>)</w:t>
      </w:r>
    </w:p>
    <w:p w14:paraId="3528EFDB" w14:textId="77777777" w:rsidR="00003903" w:rsidRDefault="00003903" w:rsidP="00003903">
      <w:pPr>
        <w:rPr>
          <w:sz w:val="24"/>
          <w:szCs w:val="24"/>
        </w:rPr>
      </w:pPr>
      <w:r w:rsidRPr="00E75BAF">
        <w:rPr>
          <w:noProof/>
        </w:rPr>
        <w:drawing>
          <wp:inline distT="0" distB="0" distL="0" distR="0" wp14:anchorId="7BE55E51" wp14:editId="3ABF576B">
            <wp:extent cx="5435600" cy="3308350"/>
            <wp:effectExtent l="0" t="0" r="12700" b="6350"/>
            <wp:docPr id="53" name="Chart 53">
              <a:extLst xmlns:a="http://schemas.openxmlformats.org/drawingml/2006/main">
                <a:ext uri="{FF2B5EF4-FFF2-40B4-BE49-F238E27FC236}">
                  <a16:creationId xmlns:a16="http://schemas.microsoft.com/office/drawing/2014/main" id="{BA9B05AF-1856-4ECA-BD3E-B7526E966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E86843D" w14:textId="77777777" w:rsidR="00003903" w:rsidRPr="001C392B" w:rsidRDefault="00003903" w:rsidP="00003903">
      <w:pPr>
        <w:rPr>
          <w:sz w:val="24"/>
          <w:szCs w:val="24"/>
        </w:rPr>
      </w:pPr>
      <w:r w:rsidRPr="001C392B">
        <w:rPr>
          <w:sz w:val="24"/>
          <w:szCs w:val="24"/>
        </w:rPr>
        <w:t>Source: Sandwell MBC ISEY</w:t>
      </w:r>
      <w:r>
        <w:rPr>
          <w:sz w:val="24"/>
          <w:szCs w:val="24"/>
        </w:rPr>
        <w:t xml:space="preserve"> &amp; CDC</w:t>
      </w:r>
      <w:r w:rsidRPr="001C392B">
        <w:rPr>
          <w:sz w:val="24"/>
          <w:szCs w:val="24"/>
        </w:rPr>
        <w:t>; ONS 2017 mid-year population estimates</w:t>
      </w:r>
    </w:p>
    <w:p w14:paraId="098C16A5" w14:textId="77777777" w:rsidR="00003903" w:rsidRDefault="00003903" w:rsidP="00003903">
      <w:pPr>
        <w:rPr>
          <w:rFonts w:eastAsiaTheme="minorHAnsi" w:cstheme="minorHAnsi"/>
          <w:bCs/>
          <w:sz w:val="24"/>
          <w:szCs w:val="24"/>
        </w:rPr>
      </w:pPr>
    </w:p>
    <w:p w14:paraId="5E4D5C6E" w14:textId="77777777" w:rsidR="00003903" w:rsidRPr="005C5F3B" w:rsidRDefault="00003903" w:rsidP="00003903">
      <w:pPr>
        <w:rPr>
          <w:rFonts w:cstheme="minorHAnsi"/>
          <w:sz w:val="18"/>
          <w:szCs w:val="18"/>
        </w:rPr>
      </w:pPr>
      <w:r w:rsidRPr="005C5F3B">
        <w:rPr>
          <w:rFonts w:eastAsiaTheme="minorHAnsi" w:cstheme="minorHAnsi"/>
          <w:bCs/>
          <w:sz w:val="24"/>
          <w:szCs w:val="24"/>
        </w:rPr>
        <w:t xml:space="preserve">Nationally, for children aged 0-25, </w:t>
      </w:r>
      <w:r w:rsidRPr="005C5F3B">
        <w:rPr>
          <w:rFonts w:eastAsiaTheme="minorHAnsi" w:cstheme="minorHAnsi"/>
          <w:sz w:val="24"/>
          <w:szCs w:val="24"/>
        </w:rPr>
        <w:t>special educational needs are most prevalent in travellers of Irish heritage and Gypsy/Roma pupils with 30% and 26% respectively</w:t>
      </w:r>
      <w:r w:rsidRPr="005C5F3B">
        <w:rPr>
          <w:rStyle w:val="FootnoteReference"/>
          <w:rFonts w:eastAsiaTheme="minorHAnsi" w:cstheme="minorHAnsi"/>
          <w:sz w:val="24"/>
          <w:szCs w:val="24"/>
        </w:rPr>
        <w:footnoteReference w:id="5"/>
      </w:r>
      <w:r w:rsidRPr="005C5F3B">
        <w:rPr>
          <w:rFonts w:eastAsiaTheme="minorHAnsi" w:cstheme="minorHAnsi"/>
          <w:sz w:val="24"/>
          <w:szCs w:val="24"/>
        </w:rPr>
        <w:t xml:space="preserve">.  For Sandwell, </w:t>
      </w:r>
      <w:r w:rsidRPr="005C5F3B">
        <w:rPr>
          <w:rFonts w:cstheme="minorHAnsi"/>
          <w:sz w:val="24"/>
          <w:szCs w:val="24"/>
        </w:rPr>
        <w:t>almost half of the children aged 0-5 accessing services are from a White British ethnic background, this is followed by Pakistani, Indian and Black African background.</w:t>
      </w:r>
      <w:r w:rsidRPr="005C5F3B">
        <w:rPr>
          <w:rFonts w:cstheme="minorHAnsi"/>
          <w:sz w:val="18"/>
          <w:szCs w:val="18"/>
        </w:rPr>
        <w:t xml:space="preserve"> </w:t>
      </w:r>
    </w:p>
    <w:p w14:paraId="58DFD368" w14:textId="77777777" w:rsidR="00003903" w:rsidRPr="008C335A" w:rsidRDefault="00003903" w:rsidP="00003903">
      <w:pPr>
        <w:rPr>
          <w:sz w:val="18"/>
          <w:szCs w:val="18"/>
        </w:rPr>
      </w:pPr>
    </w:p>
    <w:p w14:paraId="1DBE28C1" w14:textId="77777777" w:rsidR="00003903" w:rsidRDefault="00003903" w:rsidP="00003903">
      <w:pPr>
        <w:autoSpaceDE w:val="0"/>
        <w:autoSpaceDN w:val="0"/>
        <w:adjustRightInd w:val="0"/>
        <w:spacing w:after="0" w:line="240" w:lineRule="auto"/>
        <w:rPr>
          <w:rFonts w:ascii="Arial" w:eastAsiaTheme="minorHAnsi" w:hAnsi="Arial" w:cs="Arial"/>
          <w:color w:val="000000"/>
          <w:sz w:val="22"/>
          <w:szCs w:val="22"/>
        </w:rPr>
      </w:pPr>
    </w:p>
    <w:p w14:paraId="232E4424" w14:textId="77777777" w:rsidR="00003903" w:rsidRDefault="00003903" w:rsidP="00003903">
      <w:pPr>
        <w:spacing w:after="160" w:line="259" w:lineRule="auto"/>
        <w:rPr>
          <w:rFonts w:cs="Arial"/>
          <w:b/>
          <w:sz w:val="24"/>
          <w:szCs w:val="24"/>
        </w:rPr>
      </w:pPr>
      <w:r>
        <w:rPr>
          <w:rFonts w:cs="Arial"/>
          <w:b/>
          <w:sz w:val="24"/>
          <w:szCs w:val="24"/>
        </w:rPr>
        <w:br w:type="page"/>
      </w:r>
    </w:p>
    <w:p w14:paraId="40F8CC41" w14:textId="0A9D685F" w:rsidR="00003903" w:rsidRDefault="00003903" w:rsidP="00003903">
      <w:pPr>
        <w:autoSpaceDE w:val="0"/>
        <w:autoSpaceDN w:val="0"/>
        <w:adjustRightInd w:val="0"/>
        <w:spacing w:after="0" w:line="240" w:lineRule="auto"/>
        <w:rPr>
          <w:rFonts w:ascii="Arial" w:eastAsiaTheme="minorHAnsi" w:hAnsi="Arial" w:cs="Arial"/>
          <w:color w:val="000000"/>
          <w:sz w:val="22"/>
          <w:szCs w:val="22"/>
        </w:rPr>
      </w:pPr>
      <w:r>
        <w:rPr>
          <w:rFonts w:cs="Arial"/>
          <w:b/>
          <w:sz w:val="24"/>
          <w:szCs w:val="24"/>
        </w:rPr>
        <w:t>Figure</w:t>
      </w:r>
      <w:r w:rsidRPr="00F86761">
        <w:rPr>
          <w:rFonts w:cs="Arial"/>
          <w:b/>
          <w:sz w:val="24"/>
          <w:szCs w:val="24"/>
        </w:rPr>
        <w:t xml:space="preserve"> 3.1</w:t>
      </w:r>
      <w:r w:rsidR="009073AE">
        <w:rPr>
          <w:rFonts w:cs="Arial"/>
          <w:b/>
          <w:sz w:val="24"/>
          <w:szCs w:val="24"/>
        </w:rPr>
        <w:t>5</w:t>
      </w:r>
      <w:r w:rsidRPr="00F86761">
        <w:rPr>
          <w:rFonts w:cs="Arial"/>
          <w:b/>
          <w:sz w:val="24"/>
          <w:szCs w:val="24"/>
        </w:rPr>
        <w:t>:</w:t>
      </w:r>
      <w:r>
        <w:rPr>
          <w:rFonts w:cs="Arial"/>
          <w:b/>
          <w:sz w:val="24"/>
          <w:szCs w:val="24"/>
        </w:rPr>
        <w:t xml:space="preserve"> ISEY &amp; CDC Primary Area of Need</w:t>
      </w:r>
    </w:p>
    <w:p w14:paraId="23C0B5C7" w14:textId="77777777" w:rsidR="00003903" w:rsidRDefault="00003903" w:rsidP="00003903">
      <w:pPr>
        <w:rPr>
          <w:sz w:val="18"/>
          <w:szCs w:val="18"/>
        </w:rPr>
      </w:pPr>
      <w:r>
        <w:rPr>
          <w:noProof/>
        </w:rPr>
        <w:drawing>
          <wp:inline distT="0" distB="0" distL="0" distR="0" wp14:anchorId="6A46A1A7" wp14:editId="5989716C">
            <wp:extent cx="6289675" cy="302029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94153" cy="3022441"/>
                    </a:xfrm>
                    <a:prstGeom prst="rect">
                      <a:avLst/>
                    </a:prstGeom>
                  </pic:spPr>
                </pic:pic>
              </a:graphicData>
            </a:graphic>
          </wp:inline>
        </w:drawing>
      </w:r>
    </w:p>
    <w:p w14:paraId="330A56CE" w14:textId="77777777" w:rsidR="00003903" w:rsidRPr="00E273E6" w:rsidRDefault="00003903" w:rsidP="00003903">
      <w:pPr>
        <w:rPr>
          <w:sz w:val="24"/>
          <w:szCs w:val="24"/>
        </w:rPr>
      </w:pPr>
      <w:r w:rsidRPr="00E273E6">
        <w:rPr>
          <w:sz w:val="24"/>
          <w:szCs w:val="24"/>
        </w:rPr>
        <w:t>Source: Sandwell MBC ISEY</w:t>
      </w:r>
      <w:r>
        <w:rPr>
          <w:sz w:val="24"/>
          <w:szCs w:val="24"/>
        </w:rPr>
        <w:t xml:space="preserve"> &amp; CDC</w:t>
      </w:r>
    </w:p>
    <w:p w14:paraId="2EB0E990" w14:textId="77777777" w:rsidR="00003903" w:rsidRDefault="00003903" w:rsidP="00003903">
      <w:pPr>
        <w:spacing w:after="160" w:line="259" w:lineRule="auto"/>
      </w:pPr>
    </w:p>
    <w:p w14:paraId="53FD1327" w14:textId="77777777" w:rsidR="00003903" w:rsidRPr="005C5F3B" w:rsidRDefault="00003903" w:rsidP="00003903">
      <w:pPr>
        <w:spacing w:after="0" w:line="240" w:lineRule="auto"/>
        <w:rPr>
          <w:rFonts w:eastAsia="Times New Roman" w:cstheme="minorHAnsi"/>
          <w:color w:val="000000"/>
          <w:sz w:val="24"/>
          <w:szCs w:val="24"/>
          <w:lang w:eastAsia="en-GB"/>
        </w:rPr>
      </w:pPr>
      <w:r w:rsidRPr="005C5F3B">
        <w:rPr>
          <w:rFonts w:cstheme="minorHAnsi"/>
          <w:sz w:val="24"/>
          <w:szCs w:val="24"/>
        </w:rPr>
        <w:t>Similarly, to the national trend</w:t>
      </w:r>
      <w:r w:rsidRPr="005C5F3B">
        <w:rPr>
          <w:rStyle w:val="FootnoteReference"/>
          <w:rFonts w:cstheme="minorHAnsi"/>
          <w:sz w:val="24"/>
          <w:szCs w:val="24"/>
        </w:rPr>
        <w:footnoteReference w:id="6"/>
      </w:r>
      <w:r w:rsidRPr="005C5F3B">
        <w:rPr>
          <w:rFonts w:cstheme="minorHAnsi"/>
          <w:sz w:val="24"/>
          <w:szCs w:val="24"/>
        </w:rPr>
        <w:t>, the largest primary areas of need for children accessing ISEY services are ‘Speech</w:t>
      </w:r>
      <w:r w:rsidRPr="005C5F3B">
        <w:rPr>
          <w:rFonts w:eastAsia="Times New Roman" w:cstheme="minorHAnsi"/>
          <w:color w:val="000000"/>
          <w:sz w:val="24"/>
          <w:szCs w:val="24"/>
          <w:lang w:eastAsia="en-GB"/>
        </w:rPr>
        <w:t xml:space="preserve"> language and Communication’.  Half of the children accessing </w:t>
      </w:r>
      <w:r w:rsidRPr="005C5F3B">
        <w:rPr>
          <w:rFonts w:cstheme="minorHAnsi"/>
          <w:sz w:val="24"/>
          <w:szCs w:val="24"/>
        </w:rPr>
        <w:t xml:space="preserve">ISEY services </w:t>
      </w:r>
      <w:r w:rsidRPr="005C5F3B">
        <w:rPr>
          <w:rFonts w:eastAsia="Times New Roman" w:cstheme="minorHAnsi"/>
          <w:color w:val="000000"/>
          <w:sz w:val="24"/>
          <w:szCs w:val="24"/>
          <w:lang w:eastAsia="en-GB"/>
        </w:rPr>
        <w:t xml:space="preserve">required Speech language and Communication support as their primary need.  49% (149) in 2017-18 and 51% (197) in 2018-19. The proportion of children requiring </w:t>
      </w:r>
      <w:r w:rsidRPr="005C5F3B">
        <w:rPr>
          <w:rFonts w:cstheme="minorHAnsi"/>
          <w:sz w:val="24"/>
          <w:szCs w:val="24"/>
        </w:rPr>
        <w:t>speech</w:t>
      </w:r>
      <w:r w:rsidRPr="005C5F3B">
        <w:rPr>
          <w:rFonts w:eastAsia="Times New Roman" w:cstheme="minorHAnsi"/>
          <w:color w:val="000000"/>
          <w:sz w:val="24"/>
          <w:szCs w:val="24"/>
          <w:lang w:eastAsia="en-GB"/>
        </w:rPr>
        <w:t xml:space="preserve"> language and communication’ support is increasing.</w:t>
      </w:r>
    </w:p>
    <w:p w14:paraId="2ED490D7" w14:textId="77777777" w:rsidR="00003903" w:rsidRPr="005C5F3B" w:rsidRDefault="00003903" w:rsidP="00003903">
      <w:pPr>
        <w:spacing w:after="0" w:line="240" w:lineRule="auto"/>
        <w:rPr>
          <w:rFonts w:eastAsia="Times New Roman" w:cstheme="minorHAnsi"/>
          <w:color w:val="000000"/>
          <w:sz w:val="24"/>
          <w:szCs w:val="24"/>
          <w:lang w:eastAsia="en-GB"/>
        </w:rPr>
      </w:pPr>
    </w:p>
    <w:p w14:paraId="2BC5617F" w14:textId="77777777" w:rsidR="00003903" w:rsidRPr="005C5F3B" w:rsidRDefault="00003903" w:rsidP="00003903">
      <w:pPr>
        <w:spacing w:after="0" w:line="240" w:lineRule="auto"/>
        <w:rPr>
          <w:rFonts w:eastAsia="Times New Roman" w:cstheme="minorHAnsi"/>
          <w:color w:val="000000"/>
          <w:sz w:val="24"/>
          <w:szCs w:val="24"/>
          <w:lang w:eastAsia="en-GB"/>
        </w:rPr>
      </w:pPr>
      <w:r w:rsidRPr="005C5F3B">
        <w:rPr>
          <w:rFonts w:eastAsia="Times New Roman" w:cstheme="minorHAnsi"/>
          <w:color w:val="000000"/>
          <w:sz w:val="24"/>
          <w:szCs w:val="24"/>
          <w:lang w:eastAsia="en-GB"/>
        </w:rPr>
        <w:t>Historically the second highest proportion of children accessing ISEY services have required cognition and learning support.  This proportion has been declining from 20% in 2015-16 to 11% in 2018-19.</w:t>
      </w:r>
    </w:p>
    <w:p w14:paraId="4E3A135C" w14:textId="77777777" w:rsidR="00003903" w:rsidRDefault="00003903" w:rsidP="00003903">
      <w:pPr>
        <w:spacing w:after="0" w:line="240" w:lineRule="auto"/>
        <w:rPr>
          <w:rFonts w:asciiTheme="majorHAnsi" w:eastAsia="Times New Roman" w:hAnsiTheme="majorHAnsi" w:cstheme="majorHAnsi"/>
          <w:color w:val="000000"/>
          <w:sz w:val="32"/>
          <w:szCs w:val="32"/>
          <w:lang w:eastAsia="en-GB"/>
        </w:rPr>
      </w:pPr>
    </w:p>
    <w:p w14:paraId="2505A28A" w14:textId="06AC26B7" w:rsidR="00003903" w:rsidRPr="00E273E6" w:rsidRDefault="00003903" w:rsidP="00003903">
      <w:pPr>
        <w:rPr>
          <w:rFonts w:cs="Arial"/>
          <w:b/>
          <w:sz w:val="24"/>
          <w:szCs w:val="24"/>
        </w:rPr>
      </w:pPr>
      <w:r>
        <w:rPr>
          <w:noProof/>
        </w:rPr>
        <w:drawing>
          <wp:anchor distT="0" distB="0" distL="114300" distR="114300" simplePos="0" relativeHeight="251658249" behindDoc="1" locked="0" layoutInCell="1" allowOverlap="1" wp14:anchorId="4EC71B21" wp14:editId="08D11601">
            <wp:simplePos x="0" y="0"/>
            <wp:positionH relativeFrom="margin">
              <wp:align>left</wp:align>
            </wp:positionH>
            <wp:positionV relativeFrom="paragraph">
              <wp:posOffset>346710</wp:posOffset>
            </wp:positionV>
            <wp:extent cx="3962400" cy="2105025"/>
            <wp:effectExtent l="0" t="0" r="0" b="9525"/>
            <wp:wrapTopAndBottom/>
            <wp:docPr id="21" name="Chart 21">
              <a:extLst xmlns:a="http://schemas.openxmlformats.org/drawingml/2006/main">
                <a:ext uri="{FF2B5EF4-FFF2-40B4-BE49-F238E27FC236}">
                  <a16:creationId xmlns:a16="http://schemas.microsoft.com/office/drawing/2014/main" id="{FB638344-8769-48A5-989B-56B36AC6A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V relativeFrom="margin">
              <wp14:pctHeight>0</wp14:pctHeight>
            </wp14:sizeRelV>
          </wp:anchor>
        </w:drawing>
      </w:r>
      <w:r>
        <w:rPr>
          <w:rFonts w:cs="Arial"/>
          <w:b/>
          <w:sz w:val="24"/>
          <w:szCs w:val="24"/>
        </w:rPr>
        <w:t>Figure</w:t>
      </w:r>
      <w:r w:rsidRPr="00F86761">
        <w:rPr>
          <w:rFonts w:cs="Arial"/>
          <w:b/>
          <w:sz w:val="24"/>
          <w:szCs w:val="24"/>
        </w:rPr>
        <w:t xml:space="preserve"> 3.1</w:t>
      </w:r>
      <w:r w:rsidR="009073AE">
        <w:rPr>
          <w:rFonts w:cs="Arial"/>
          <w:b/>
          <w:sz w:val="24"/>
          <w:szCs w:val="24"/>
        </w:rPr>
        <w:t>6</w:t>
      </w:r>
      <w:r w:rsidRPr="00F86761">
        <w:rPr>
          <w:rFonts w:cs="Arial"/>
          <w:b/>
          <w:sz w:val="24"/>
          <w:szCs w:val="24"/>
        </w:rPr>
        <w:t>:</w:t>
      </w:r>
      <w:r>
        <w:rPr>
          <w:rFonts w:cs="Arial"/>
          <w:b/>
          <w:sz w:val="24"/>
          <w:szCs w:val="24"/>
        </w:rPr>
        <w:t xml:space="preserve"> </w:t>
      </w:r>
      <w:r w:rsidRPr="00E273E6">
        <w:rPr>
          <w:rFonts w:cs="Arial"/>
          <w:b/>
          <w:sz w:val="24"/>
          <w:szCs w:val="24"/>
          <w:lang w:val="en-US"/>
        </w:rPr>
        <w:t>2018-19 Age at refe</w:t>
      </w:r>
      <w:r>
        <w:rPr>
          <w:rFonts w:cs="Arial"/>
          <w:b/>
          <w:sz w:val="24"/>
          <w:szCs w:val="24"/>
          <w:lang w:val="en-US"/>
        </w:rPr>
        <w:t>r</w:t>
      </w:r>
      <w:r w:rsidRPr="00E273E6">
        <w:rPr>
          <w:rFonts w:cs="Arial"/>
          <w:b/>
          <w:sz w:val="24"/>
          <w:szCs w:val="24"/>
          <w:lang w:val="en-US"/>
        </w:rPr>
        <w:t>ral into Inclus</w:t>
      </w:r>
      <w:r>
        <w:rPr>
          <w:rFonts w:cs="Arial"/>
          <w:b/>
          <w:sz w:val="24"/>
          <w:szCs w:val="24"/>
          <w:lang w:val="en-US"/>
        </w:rPr>
        <w:t>i</w:t>
      </w:r>
      <w:r w:rsidRPr="00E273E6">
        <w:rPr>
          <w:rFonts w:cs="Arial"/>
          <w:b/>
          <w:sz w:val="24"/>
          <w:szCs w:val="24"/>
          <w:lang w:val="en-US"/>
        </w:rPr>
        <w:t>on Support Early Years</w:t>
      </w:r>
    </w:p>
    <w:p w14:paraId="6439541C" w14:textId="77777777" w:rsidR="00003903" w:rsidRPr="00E273E6" w:rsidRDefault="00003903" w:rsidP="00003903">
      <w:pPr>
        <w:autoSpaceDE w:val="0"/>
        <w:autoSpaceDN w:val="0"/>
        <w:adjustRightInd w:val="0"/>
        <w:spacing w:after="0" w:line="240" w:lineRule="auto"/>
        <w:rPr>
          <w:sz w:val="24"/>
          <w:szCs w:val="24"/>
        </w:rPr>
      </w:pPr>
      <w:r w:rsidRPr="00E273E6">
        <w:rPr>
          <w:sz w:val="24"/>
          <w:szCs w:val="24"/>
        </w:rPr>
        <w:t xml:space="preserve">35% of the children referred/ accessing </w:t>
      </w:r>
      <w:r>
        <w:rPr>
          <w:sz w:val="24"/>
          <w:szCs w:val="24"/>
        </w:rPr>
        <w:t xml:space="preserve">the Inclusion Support Early Years’ service </w:t>
      </w:r>
      <w:r w:rsidRPr="00E273E6">
        <w:rPr>
          <w:sz w:val="24"/>
          <w:szCs w:val="24"/>
        </w:rPr>
        <w:t xml:space="preserve">are aged 2 </w:t>
      </w:r>
      <w:r>
        <w:rPr>
          <w:sz w:val="24"/>
          <w:szCs w:val="24"/>
        </w:rPr>
        <w:t>and 32% are aged 4</w:t>
      </w:r>
      <w:r w:rsidRPr="00E273E6">
        <w:rPr>
          <w:sz w:val="24"/>
          <w:szCs w:val="24"/>
        </w:rPr>
        <w:t xml:space="preserve">. </w:t>
      </w:r>
    </w:p>
    <w:p w14:paraId="065C970F" w14:textId="77777777" w:rsidR="00003903" w:rsidRPr="004B2CE9" w:rsidRDefault="00003903" w:rsidP="00003903">
      <w:pPr>
        <w:pStyle w:val="ListParagraph"/>
        <w:autoSpaceDE w:val="0"/>
        <w:autoSpaceDN w:val="0"/>
        <w:adjustRightInd w:val="0"/>
        <w:spacing w:after="0" w:line="240" w:lineRule="auto"/>
        <w:ind w:left="360"/>
        <w:rPr>
          <w:sz w:val="24"/>
          <w:szCs w:val="24"/>
        </w:rPr>
      </w:pPr>
    </w:p>
    <w:p w14:paraId="291BC89B" w14:textId="77777777" w:rsidR="00003903" w:rsidRPr="00BD73D9" w:rsidRDefault="00003903" w:rsidP="005B1F6D">
      <w:pPr>
        <w:pStyle w:val="Heading2"/>
      </w:pPr>
      <w:r>
        <w:br/>
      </w:r>
      <w:r w:rsidRPr="00BD73D9">
        <w:t>Education, Health and Care Plans</w:t>
      </w:r>
    </w:p>
    <w:p w14:paraId="29EBB7F4" w14:textId="77777777" w:rsidR="00003903" w:rsidRPr="005C5F3B" w:rsidRDefault="00003903" w:rsidP="00003903">
      <w:pPr>
        <w:spacing w:line="240" w:lineRule="auto"/>
        <w:rPr>
          <w:rFonts w:cstheme="minorHAnsi"/>
          <w:sz w:val="24"/>
          <w:szCs w:val="24"/>
        </w:rPr>
      </w:pPr>
      <w:r w:rsidRPr="005C5F3B">
        <w:rPr>
          <w:rFonts w:cstheme="minorHAnsi"/>
          <w:sz w:val="24"/>
          <w:szCs w:val="24"/>
        </w:rPr>
        <w:t xml:space="preserve">An Education, Health and Care (EHC) plan sets out the education, health and care support that is to be provided to a child or young person aged 0-25 years who has Special Educational Needs or a Disability (SEND). It is drawn up by the local authority after an EHC needs assessment of the child or young person, in consultation with relevant partner agencies, parents and the child or young person themselves. </w:t>
      </w:r>
    </w:p>
    <w:p w14:paraId="52FCD6B8" w14:textId="77777777" w:rsidR="00003903" w:rsidRPr="005C5F3B" w:rsidRDefault="00003903" w:rsidP="00003903">
      <w:pPr>
        <w:spacing w:line="240" w:lineRule="auto"/>
        <w:rPr>
          <w:rFonts w:cstheme="minorHAnsi"/>
          <w:sz w:val="24"/>
          <w:szCs w:val="24"/>
        </w:rPr>
      </w:pPr>
      <w:r w:rsidRPr="005C5F3B">
        <w:rPr>
          <w:rFonts w:cstheme="minorHAnsi"/>
          <w:sz w:val="24"/>
          <w:szCs w:val="24"/>
        </w:rPr>
        <w:t>The Department for Education commissioned a national survey in 2016</w:t>
      </w:r>
      <w:r w:rsidRPr="005C5F3B">
        <w:rPr>
          <w:rStyle w:val="FootnoteReference"/>
          <w:rFonts w:cstheme="minorHAnsi"/>
          <w:sz w:val="24"/>
          <w:szCs w:val="24"/>
        </w:rPr>
        <w:footnoteReference w:id="7"/>
      </w:r>
      <w:r w:rsidRPr="005C5F3B">
        <w:rPr>
          <w:rFonts w:cstheme="minorHAnsi"/>
          <w:sz w:val="24"/>
          <w:szCs w:val="24"/>
        </w:rPr>
        <w:t>, with the aim of understanding recipient’s experiences of the EHC processes across local authorities.  Local provisions should be reviewed with considerations to this research fin</w:t>
      </w:r>
      <w:r>
        <w:rPr>
          <w:rFonts w:cstheme="minorHAnsi"/>
          <w:sz w:val="24"/>
          <w:szCs w:val="24"/>
        </w:rPr>
        <w:t>dings.</w:t>
      </w:r>
    </w:p>
    <w:p w14:paraId="48C62AD5" w14:textId="77777777" w:rsidR="00003903" w:rsidRPr="005C5F3B" w:rsidRDefault="00003903" w:rsidP="00003903">
      <w:pPr>
        <w:spacing w:line="240" w:lineRule="auto"/>
        <w:rPr>
          <w:rFonts w:cstheme="minorHAnsi"/>
          <w:sz w:val="24"/>
          <w:szCs w:val="24"/>
        </w:rPr>
      </w:pPr>
      <w:r w:rsidRPr="005C5F3B">
        <w:rPr>
          <w:rFonts w:cstheme="minorHAnsi"/>
          <w:sz w:val="24"/>
          <w:szCs w:val="24"/>
        </w:rPr>
        <w:t xml:space="preserve"> </w:t>
      </w:r>
    </w:p>
    <w:p w14:paraId="75660CFC" w14:textId="3F8DA2B9" w:rsidR="00003903" w:rsidRPr="005C5F3B" w:rsidRDefault="00003903" w:rsidP="00003903">
      <w:pPr>
        <w:spacing w:line="240" w:lineRule="auto"/>
        <w:rPr>
          <w:rFonts w:cstheme="minorHAnsi"/>
          <w:sz w:val="24"/>
          <w:szCs w:val="24"/>
        </w:rPr>
      </w:pPr>
      <w:r w:rsidRPr="005C5F3B">
        <w:rPr>
          <w:rFonts w:cstheme="minorHAnsi"/>
          <w:sz w:val="24"/>
          <w:szCs w:val="24"/>
        </w:rPr>
        <w:t xml:space="preserve">There were </w:t>
      </w:r>
      <w:r w:rsidR="00F86E94" w:rsidRPr="00F86E94">
        <w:rPr>
          <w:rFonts w:cstheme="minorHAnsi"/>
          <w:sz w:val="24"/>
          <w:szCs w:val="24"/>
        </w:rPr>
        <w:t>2503</w:t>
      </w:r>
      <w:r w:rsidRPr="005C5F3B">
        <w:rPr>
          <w:rFonts w:cstheme="minorHAnsi"/>
          <w:sz w:val="24"/>
          <w:szCs w:val="24"/>
        </w:rPr>
        <w:t xml:space="preserve"> children and young people with Education, </w:t>
      </w:r>
      <w:r w:rsidR="006D0F1B">
        <w:rPr>
          <w:rFonts w:cstheme="minorHAnsi"/>
          <w:sz w:val="24"/>
          <w:szCs w:val="24"/>
        </w:rPr>
        <w:t>H</w:t>
      </w:r>
      <w:r w:rsidRPr="005C5F3B">
        <w:rPr>
          <w:rFonts w:cstheme="minorHAnsi"/>
          <w:sz w:val="24"/>
          <w:szCs w:val="24"/>
        </w:rPr>
        <w:t xml:space="preserve">ealth and Care plans maintained by Sandwell local Authority </w:t>
      </w:r>
      <w:r w:rsidR="00724AB8">
        <w:rPr>
          <w:rFonts w:cstheme="minorHAnsi"/>
          <w:sz w:val="24"/>
          <w:szCs w:val="24"/>
        </w:rPr>
        <w:t>in the 2021 calendar year</w:t>
      </w:r>
      <w:r w:rsidRPr="005C5F3B">
        <w:rPr>
          <w:rStyle w:val="FootnoteReference"/>
          <w:rFonts w:cstheme="minorHAnsi"/>
          <w:sz w:val="24"/>
          <w:szCs w:val="24"/>
        </w:rPr>
        <w:footnoteReference w:id="8"/>
      </w:r>
      <w:r w:rsidRPr="005C5F3B">
        <w:rPr>
          <w:rFonts w:cstheme="minorHAnsi"/>
          <w:sz w:val="24"/>
          <w:szCs w:val="24"/>
        </w:rPr>
        <w:t xml:space="preserve">.  This is an increase of </w:t>
      </w:r>
      <w:r w:rsidR="00724AB8">
        <w:rPr>
          <w:rFonts w:cstheme="minorHAnsi"/>
          <w:sz w:val="24"/>
          <w:szCs w:val="24"/>
        </w:rPr>
        <w:t>45.8</w:t>
      </w:r>
      <w:r w:rsidRPr="005C5F3B">
        <w:rPr>
          <w:rFonts w:cstheme="minorHAnsi"/>
          <w:sz w:val="24"/>
          <w:szCs w:val="24"/>
        </w:rPr>
        <w:t>% since 2018 for ages 0-25.</w:t>
      </w:r>
      <w:r>
        <w:rPr>
          <w:rFonts w:cstheme="minorHAnsi"/>
          <w:sz w:val="24"/>
          <w:szCs w:val="24"/>
        </w:rPr>
        <w:t xml:space="preserve">  </w:t>
      </w:r>
      <w:r w:rsidR="00724AB8">
        <w:rPr>
          <w:rFonts w:cstheme="minorHAnsi"/>
          <w:sz w:val="24"/>
          <w:szCs w:val="24"/>
        </w:rPr>
        <w:t>2.1% (5</w:t>
      </w:r>
      <w:r w:rsidRPr="005C5F3B">
        <w:rPr>
          <w:rFonts w:cstheme="minorHAnsi"/>
          <w:sz w:val="24"/>
          <w:szCs w:val="24"/>
        </w:rPr>
        <w:t xml:space="preserve">2) of the total EHC plans are for children aged under 5 years of age.  This is a lower proportion than England at </w:t>
      </w:r>
      <w:r w:rsidR="00724AB8">
        <w:rPr>
          <w:rFonts w:cstheme="minorHAnsi"/>
          <w:sz w:val="24"/>
          <w:szCs w:val="24"/>
        </w:rPr>
        <w:t>3.8</w:t>
      </w:r>
      <w:r w:rsidRPr="005C5F3B">
        <w:rPr>
          <w:rFonts w:cstheme="minorHAnsi"/>
          <w:sz w:val="24"/>
          <w:szCs w:val="24"/>
        </w:rPr>
        <w:t xml:space="preserve">% and the West Midlands </w:t>
      </w:r>
      <w:r w:rsidR="00724AB8">
        <w:rPr>
          <w:rFonts w:cstheme="minorHAnsi"/>
          <w:sz w:val="24"/>
          <w:szCs w:val="24"/>
        </w:rPr>
        <w:t xml:space="preserve">region </w:t>
      </w:r>
      <w:r w:rsidRPr="005C5F3B">
        <w:rPr>
          <w:rFonts w:cstheme="minorHAnsi"/>
          <w:sz w:val="24"/>
          <w:szCs w:val="24"/>
        </w:rPr>
        <w:t>at 3.</w:t>
      </w:r>
      <w:r w:rsidR="00724AB8">
        <w:rPr>
          <w:rFonts w:cstheme="minorHAnsi"/>
          <w:sz w:val="24"/>
          <w:szCs w:val="24"/>
        </w:rPr>
        <w:t>3</w:t>
      </w:r>
      <w:r w:rsidRPr="005C5F3B">
        <w:rPr>
          <w:rFonts w:cstheme="minorHAnsi"/>
          <w:sz w:val="24"/>
          <w:szCs w:val="24"/>
        </w:rPr>
        <w:t>%.</w:t>
      </w:r>
    </w:p>
    <w:p w14:paraId="7C3A697F" w14:textId="32F7AD71" w:rsidR="00003903" w:rsidRPr="00A45A05" w:rsidRDefault="00003903" w:rsidP="00003903">
      <w:pPr>
        <w:rPr>
          <w:rFonts w:cs="Arial"/>
          <w:b/>
          <w:sz w:val="24"/>
          <w:szCs w:val="24"/>
        </w:rPr>
      </w:pPr>
      <w:r>
        <w:rPr>
          <w:rFonts w:cs="Arial"/>
          <w:b/>
          <w:sz w:val="24"/>
          <w:szCs w:val="24"/>
        </w:rPr>
        <w:t>Figure</w:t>
      </w:r>
      <w:r w:rsidRPr="00F86761">
        <w:rPr>
          <w:rFonts w:cs="Arial"/>
          <w:b/>
          <w:sz w:val="24"/>
          <w:szCs w:val="24"/>
        </w:rPr>
        <w:t xml:space="preserve"> 3.1</w:t>
      </w:r>
      <w:r w:rsidR="009073AE">
        <w:rPr>
          <w:rFonts w:cs="Arial"/>
          <w:b/>
          <w:sz w:val="24"/>
          <w:szCs w:val="24"/>
        </w:rPr>
        <w:t>7</w:t>
      </w:r>
      <w:r w:rsidRPr="00F86761">
        <w:rPr>
          <w:rFonts w:cs="Arial"/>
          <w:b/>
          <w:sz w:val="24"/>
          <w:szCs w:val="24"/>
        </w:rPr>
        <w:t>:</w:t>
      </w:r>
      <w:r>
        <w:rPr>
          <w:rFonts w:cs="Arial"/>
          <w:b/>
          <w:sz w:val="24"/>
          <w:szCs w:val="24"/>
        </w:rPr>
        <w:t xml:space="preserve"> </w:t>
      </w:r>
      <w:r w:rsidRPr="00A45A05">
        <w:rPr>
          <w:rFonts w:cs="Arial"/>
          <w:b/>
          <w:sz w:val="24"/>
          <w:szCs w:val="24"/>
        </w:rPr>
        <w:t>Number of Education, Health and Care Plans</w:t>
      </w:r>
      <w:r>
        <w:rPr>
          <w:rFonts w:cs="Arial"/>
          <w:b/>
          <w:sz w:val="24"/>
          <w:szCs w:val="24"/>
        </w:rPr>
        <w:t xml:space="preserve"> by gender</w:t>
      </w:r>
      <w:r w:rsidRPr="00A45A05">
        <w:rPr>
          <w:rFonts w:cs="Arial"/>
          <w:b/>
          <w:sz w:val="24"/>
          <w:szCs w:val="24"/>
        </w:rPr>
        <w:t xml:space="preserve"> (0-5 year olds</w:t>
      </w:r>
      <w:r>
        <w:rPr>
          <w:rFonts w:cs="Arial"/>
          <w:b/>
          <w:sz w:val="24"/>
          <w:szCs w:val="24"/>
        </w:rPr>
        <w:t>)</w:t>
      </w:r>
      <w:r w:rsidRPr="00A45A05">
        <w:rPr>
          <w:rFonts w:cs="Arial"/>
          <w:b/>
          <w:sz w:val="24"/>
          <w:szCs w:val="24"/>
        </w:rPr>
        <w:t xml:space="preserve">   </w:t>
      </w:r>
    </w:p>
    <w:p w14:paraId="67EE1F2D" w14:textId="77777777" w:rsidR="00003903" w:rsidRDefault="00003903" w:rsidP="00003903">
      <w:pPr>
        <w:rPr>
          <w:rFonts w:cstheme="minorHAnsi"/>
          <w:sz w:val="22"/>
          <w:szCs w:val="22"/>
        </w:rPr>
      </w:pPr>
      <w:r>
        <w:rPr>
          <w:noProof/>
        </w:rPr>
        <w:drawing>
          <wp:inline distT="0" distB="0" distL="0" distR="0" wp14:anchorId="119B791D" wp14:editId="5845C8B4">
            <wp:extent cx="5664200" cy="3060700"/>
            <wp:effectExtent l="0" t="0" r="12700" b="6350"/>
            <wp:docPr id="56" name="Chart 56">
              <a:extLst xmlns:a="http://schemas.openxmlformats.org/drawingml/2006/main">
                <a:ext uri="{FF2B5EF4-FFF2-40B4-BE49-F238E27FC236}">
                  <a16:creationId xmlns:a16="http://schemas.microsoft.com/office/drawing/2014/main" id="{B1B0BFBA-3125-4395-BFB8-BC0FF90C0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52EECDF" w14:textId="77777777" w:rsidR="00003903" w:rsidRDefault="00003903" w:rsidP="00003903">
      <w:pPr>
        <w:rPr>
          <w:bCs/>
          <w:sz w:val="24"/>
          <w:szCs w:val="24"/>
          <w:lang w:val="en-US" w:eastAsia="en-GB"/>
        </w:rPr>
      </w:pPr>
      <w:r w:rsidRPr="00A45A05">
        <w:rPr>
          <w:rFonts w:cstheme="minorHAnsi"/>
          <w:sz w:val="24"/>
          <w:szCs w:val="24"/>
        </w:rPr>
        <w:t>Source:</w:t>
      </w:r>
      <w:r w:rsidRPr="00A45A05">
        <w:rPr>
          <w:bCs/>
          <w:sz w:val="24"/>
          <w:szCs w:val="24"/>
          <w:lang w:val="en-US" w:eastAsia="en-GB"/>
        </w:rPr>
        <w:t xml:space="preserve"> Sandwell MBC SEN Service – ONE system</w:t>
      </w:r>
    </w:p>
    <w:p w14:paraId="6441F396" w14:textId="77777777" w:rsidR="00003903" w:rsidRPr="00A45A05" w:rsidRDefault="00003903" w:rsidP="00B13D4A">
      <w:pPr>
        <w:pStyle w:val="ListParagraph"/>
        <w:numPr>
          <w:ilvl w:val="0"/>
          <w:numId w:val="23"/>
        </w:numPr>
        <w:contextualSpacing w:val="0"/>
        <w:rPr>
          <w:rFonts w:cstheme="minorHAnsi"/>
          <w:sz w:val="24"/>
          <w:szCs w:val="24"/>
        </w:rPr>
      </w:pPr>
      <w:r w:rsidRPr="00A45A05">
        <w:rPr>
          <w:rFonts w:cstheme="minorHAnsi"/>
          <w:sz w:val="24"/>
          <w:szCs w:val="24"/>
        </w:rPr>
        <w:t>For 2018-19, Sandwell SEN Services had 120 children aged 0-5 years with a EHCP.</w:t>
      </w:r>
    </w:p>
    <w:p w14:paraId="512AB3C2" w14:textId="77777777" w:rsidR="00003903" w:rsidRPr="00A45A05" w:rsidRDefault="00003903" w:rsidP="00B13D4A">
      <w:pPr>
        <w:pStyle w:val="ListParagraph"/>
        <w:numPr>
          <w:ilvl w:val="0"/>
          <w:numId w:val="23"/>
        </w:numPr>
        <w:contextualSpacing w:val="0"/>
        <w:rPr>
          <w:rFonts w:cstheme="minorHAnsi"/>
          <w:sz w:val="24"/>
          <w:szCs w:val="24"/>
        </w:rPr>
      </w:pPr>
      <w:r w:rsidRPr="00A45A05">
        <w:rPr>
          <w:rFonts w:cstheme="minorHAnsi"/>
          <w:sz w:val="24"/>
          <w:szCs w:val="24"/>
        </w:rPr>
        <w:t xml:space="preserve">53% of the 120 EHCPs in 2018-19 were first issued at age 4; 28% at age 3; 18% at age 5 and 2% at age 2 years.  </w:t>
      </w:r>
    </w:p>
    <w:p w14:paraId="6E3EF363" w14:textId="1687CF22" w:rsidR="00003903" w:rsidRPr="00A45A05" w:rsidRDefault="00003903" w:rsidP="00B13D4A">
      <w:pPr>
        <w:pStyle w:val="ListParagraph"/>
        <w:numPr>
          <w:ilvl w:val="0"/>
          <w:numId w:val="23"/>
        </w:numPr>
        <w:contextualSpacing w:val="0"/>
        <w:rPr>
          <w:rFonts w:cstheme="minorHAnsi"/>
          <w:sz w:val="24"/>
          <w:szCs w:val="24"/>
        </w:rPr>
      </w:pPr>
      <w:r w:rsidRPr="00A45A05">
        <w:rPr>
          <w:rFonts w:cstheme="minorHAnsi"/>
          <w:sz w:val="24"/>
          <w:szCs w:val="24"/>
        </w:rPr>
        <w:t>Similarly, to the national trend, there are more boys than girls with a</w:t>
      </w:r>
      <w:r w:rsidR="00CA4A83">
        <w:rPr>
          <w:rFonts w:cstheme="minorHAnsi"/>
          <w:sz w:val="24"/>
          <w:szCs w:val="24"/>
        </w:rPr>
        <w:t>n</w:t>
      </w:r>
      <w:r w:rsidRPr="00A45A05">
        <w:rPr>
          <w:rFonts w:cstheme="minorHAnsi"/>
          <w:sz w:val="24"/>
          <w:szCs w:val="24"/>
        </w:rPr>
        <w:t xml:space="preserve"> EHCP.  67% of the EHCPs in 2018-19 are for boys.</w:t>
      </w:r>
    </w:p>
    <w:p w14:paraId="000C1BF9" w14:textId="77777777" w:rsidR="00003903" w:rsidRPr="00A45A05" w:rsidRDefault="00003903" w:rsidP="00B13D4A">
      <w:pPr>
        <w:pStyle w:val="ListParagraph"/>
        <w:numPr>
          <w:ilvl w:val="0"/>
          <w:numId w:val="23"/>
        </w:numPr>
        <w:autoSpaceDE w:val="0"/>
        <w:autoSpaceDN w:val="0"/>
        <w:adjustRightInd w:val="0"/>
        <w:spacing w:line="240" w:lineRule="auto"/>
        <w:contextualSpacing w:val="0"/>
        <w:rPr>
          <w:rFonts w:eastAsiaTheme="minorHAnsi" w:cstheme="minorHAnsi"/>
          <w:sz w:val="24"/>
          <w:szCs w:val="24"/>
        </w:rPr>
      </w:pPr>
      <w:r w:rsidRPr="00A45A05">
        <w:rPr>
          <w:rFonts w:eastAsiaTheme="minorHAnsi" w:cstheme="minorHAnsi"/>
          <w:sz w:val="24"/>
          <w:szCs w:val="24"/>
        </w:rPr>
        <w:t>Using the 2018 mid-year population estimates for Sandwell, for every 1000 boys aged 0-5; 5.4 have a EHCP and for every 1000 girls; 2.9 have a EHCP.</w:t>
      </w:r>
    </w:p>
    <w:p w14:paraId="6B99CE6F" w14:textId="77777777" w:rsidR="00003903" w:rsidRPr="00A45A05" w:rsidRDefault="00003903" w:rsidP="00B13D4A">
      <w:pPr>
        <w:pStyle w:val="ListParagraph"/>
        <w:numPr>
          <w:ilvl w:val="0"/>
          <w:numId w:val="23"/>
        </w:numPr>
        <w:autoSpaceDE w:val="0"/>
        <w:autoSpaceDN w:val="0"/>
        <w:adjustRightInd w:val="0"/>
        <w:spacing w:line="240" w:lineRule="auto"/>
        <w:contextualSpacing w:val="0"/>
        <w:rPr>
          <w:rFonts w:eastAsiaTheme="minorHAnsi" w:cstheme="minorHAnsi"/>
          <w:sz w:val="24"/>
          <w:szCs w:val="24"/>
        </w:rPr>
      </w:pPr>
      <w:r w:rsidRPr="00A45A05">
        <w:rPr>
          <w:rFonts w:eastAsiaTheme="minorHAnsi" w:cstheme="minorHAnsi"/>
          <w:sz w:val="24"/>
          <w:szCs w:val="24"/>
        </w:rPr>
        <w:t>There has been a large increase in numbers since 2014-15</w:t>
      </w:r>
      <w:r>
        <w:rPr>
          <w:rFonts w:eastAsiaTheme="minorHAnsi" w:cstheme="minorHAnsi"/>
          <w:sz w:val="24"/>
          <w:szCs w:val="24"/>
        </w:rPr>
        <w:t>, b</w:t>
      </w:r>
      <w:r w:rsidRPr="00A45A05">
        <w:rPr>
          <w:rFonts w:eastAsiaTheme="minorHAnsi" w:cstheme="minorHAnsi"/>
          <w:sz w:val="24"/>
          <w:szCs w:val="24"/>
        </w:rPr>
        <w:t xml:space="preserve">ut between 2015-16 and 2018-19 there has not been any substantial change. </w:t>
      </w:r>
    </w:p>
    <w:p w14:paraId="06917443" w14:textId="77777777" w:rsidR="00003903" w:rsidRPr="008867A7" w:rsidRDefault="00003903" w:rsidP="00003903">
      <w:pPr>
        <w:rPr>
          <w:rFonts w:cstheme="minorHAnsi"/>
          <w:sz w:val="22"/>
          <w:szCs w:val="22"/>
        </w:rPr>
      </w:pPr>
    </w:p>
    <w:p w14:paraId="1525D9E0" w14:textId="77777777" w:rsidR="00003903" w:rsidRDefault="00003903" w:rsidP="00003903">
      <w:pPr>
        <w:rPr>
          <w:rFonts w:cstheme="minorHAnsi"/>
        </w:rPr>
      </w:pPr>
    </w:p>
    <w:p w14:paraId="68242E4E" w14:textId="0677D9FB" w:rsidR="00003903" w:rsidRPr="005B1F6D" w:rsidRDefault="00003903" w:rsidP="005B1F6D">
      <w:pPr>
        <w:rPr>
          <w:b/>
          <w:sz w:val="24"/>
          <w:szCs w:val="24"/>
        </w:rPr>
      </w:pPr>
      <w:r w:rsidRPr="005B1F6D">
        <w:rPr>
          <w:b/>
          <w:sz w:val="24"/>
          <w:szCs w:val="24"/>
        </w:rPr>
        <w:t>Figure 3.1</w:t>
      </w:r>
      <w:r w:rsidR="009073AE">
        <w:rPr>
          <w:b/>
          <w:sz w:val="24"/>
          <w:szCs w:val="24"/>
        </w:rPr>
        <w:t>8</w:t>
      </w:r>
      <w:r w:rsidRPr="005B1F6D">
        <w:rPr>
          <w:b/>
          <w:sz w:val="24"/>
          <w:szCs w:val="24"/>
        </w:rPr>
        <w:t xml:space="preserve">: Prevalence of Education, Health and Care Plans by town (0-5 year olds) </w:t>
      </w:r>
    </w:p>
    <w:p w14:paraId="4F114E90" w14:textId="77777777" w:rsidR="00003903" w:rsidRDefault="00003903" w:rsidP="00003903">
      <w:pPr>
        <w:rPr>
          <w:rFonts w:cstheme="minorHAnsi"/>
        </w:rPr>
      </w:pPr>
      <w:r>
        <w:rPr>
          <w:noProof/>
        </w:rPr>
        <w:drawing>
          <wp:inline distT="0" distB="0" distL="0" distR="0" wp14:anchorId="5E0E17FD" wp14:editId="08317EE8">
            <wp:extent cx="5391150" cy="3155950"/>
            <wp:effectExtent l="0" t="0" r="0" b="6350"/>
            <wp:docPr id="57" name="Chart 57">
              <a:extLst xmlns:a="http://schemas.openxmlformats.org/drawingml/2006/main">
                <a:ext uri="{FF2B5EF4-FFF2-40B4-BE49-F238E27FC236}">
                  <a16:creationId xmlns:a16="http://schemas.microsoft.com/office/drawing/2014/main" id="{FD729C24-D7C7-4F2B-88A5-8F548CBFC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5FFB730" w14:textId="77777777" w:rsidR="00003903" w:rsidRPr="00DC2AC7" w:rsidRDefault="00003903" w:rsidP="00003903">
      <w:pPr>
        <w:rPr>
          <w:rFonts w:cstheme="minorHAnsi"/>
          <w:sz w:val="24"/>
          <w:szCs w:val="24"/>
        </w:rPr>
      </w:pPr>
      <w:r w:rsidRPr="00DC2AC7">
        <w:rPr>
          <w:rFonts w:cstheme="minorHAnsi"/>
          <w:sz w:val="24"/>
          <w:szCs w:val="24"/>
        </w:rPr>
        <w:t>Source:</w:t>
      </w:r>
      <w:r w:rsidRPr="00DC2AC7">
        <w:rPr>
          <w:bCs/>
          <w:sz w:val="24"/>
          <w:szCs w:val="24"/>
          <w:lang w:val="en-US" w:eastAsia="en-GB"/>
        </w:rPr>
        <w:t xml:space="preserve"> Sandwell MBC SEN Service - ONE system; 2017 ONS Mid-Year Population Estimates</w:t>
      </w:r>
    </w:p>
    <w:p w14:paraId="1E239437" w14:textId="77777777" w:rsidR="00003903" w:rsidRDefault="00003903" w:rsidP="00003903">
      <w:pPr>
        <w:rPr>
          <w:rFonts w:cstheme="minorHAnsi"/>
        </w:rPr>
      </w:pPr>
    </w:p>
    <w:p w14:paraId="55F9CB69" w14:textId="77777777" w:rsidR="00003903" w:rsidRPr="00870F33" w:rsidRDefault="00003903" w:rsidP="00B13D4A">
      <w:pPr>
        <w:pStyle w:val="ListParagraph"/>
        <w:numPr>
          <w:ilvl w:val="0"/>
          <w:numId w:val="24"/>
        </w:numPr>
        <w:ind w:left="714" w:hanging="357"/>
        <w:contextualSpacing w:val="0"/>
        <w:rPr>
          <w:rFonts w:cstheme="minorHAnsi"/>
          <w:sz w:val="24"/>
          <w:szCs w:val="24"/>
        </w:rPr>
      </w:pPr>
      <w:r w:rsidRPr="00870F33">
        <w:rPr>
          <w:rFonts w:cstheme="minorHAnsi"/>
          <w:sz w:val="24"/>
          <w:szCs w:val="24"/>
        </w:rPr>
        <w:t xml:space="preserve">The highest proportion of children known to SEN services with ECHPs are from West Bromwich.  In 2018-19, 26% of children with EHCP were from West Bromwich.  However, the rate is the highest in Tipton with a rate of 5.5 children in every 1000 aged 0-5 known to SEN services with EHCP.  </w:t>
      </w:r>
    </w:p>
    <w:p w14:paraId="6AFD5548" w14:textId="77777777" w:rsidR="00003903" w:rsidRPr="00870F33" w:rsidRDefault="00003903" w:rsidP="00B13D4A">
      <w:pPr>
        <w:pStyle w:val="ListParagraph"/>
        <w:numPr>
          <w:ilvl w:val="0"/>
          <w:numId w:val="24"/>
        </w:numPr>
        <w:ind w:left="714" w:hanging="357"/>
        <w:contextualSpacing w:val="0"/>
        <w:rPr>
          <w:rFonts w:cstheme="minorHAnsi"/>
          <w:sz w:val="24"/>
          <w:szCs w:val="24"/>
        </w:rPr>
      </w:pPr>
      <w:r w:rsidRPr="00870F33">
        <w:rPr>
          <w:rFonts w:cstheme="minorHAnsi"/>
          <w:sz w:val="24"/>
          <w:szCs w:val="24"/>
        </w:rPr>
        <w:t>Tipton has the highest rate followed by Wednesbury.</w:t>
      </w:r>
    </w:p>
    <w:p w14:paraId="13BD98B4" w14:textId="756917DC" w:rsidR="00003903" w:rsidRPr="00BD73D9" w:rsidRDefault="00003903" w:rsidP="00B13D4A">
      <w:pPr>
        <w:pStyle w:val="ListParagraph"/>
        <w:numPr>
          <w:ilvl w:val="0"/>
          <w:numId w:val="24"/>
        </w:numPr>
        <w:ind w:left="714" w:hanging="357"/>
        <w:contextualSpacing w:val="0"/>
        <w:rPr>
          <w:rFonts w:asciiTheme="majorHAnsi" w:hAnsiTheme="majorHAnsi" w:cstheme="majorHAnsi"/>
        </w:rPr>
      </w:pPr>
      <w:r w:rsidRPr="00870F33">
        <w:rPr>
          <w:rFonts w:cstheme="minorHAnsi"/>
          <w:sz w:val="24"/>
          <w:szCs w:val="24"/>
        </w:rPr>
        <w:t>As can be seen from figure 3.1</w:t>
      </w:r>
      <w:r w:rsidR="009073AE">
        <w:rPr>
          <w:rFonts w:cstheme="minorHAnsi"/>
          <w:sz w:val="24"/>
          <w:szCs w:val="24"/>
        </w:rPr>
        <w:t>8</w:t>
      </w:r>
      <w:r w:rsidRPr="00870F33">
        <w:rPr>
          <w:rFonts w:cstheme="minorHAnsi"/>
          <w:sz w:val="24"/>
          <w:szCs w:val="24"/>
        </w:rPr>
        <w:t xml:space="preserve"> above, Tipton and Wednesbury have historically had higher rates than Sandwell.</w:t>
      </w:r>
    </w:p>
    <w:p w14:paraId="6B97FA72" w14:textId="77777777" w:rsidR="00003903" w:rsidRPr="00870F33" w:rsidRDefault="00003903" w:rsidP="00003903">
      <w:pPr>
        <w:pStyle w:val="ListParagraph"/>
        <w:ind w:left="0"/>
        <w:rPr>
          <w:rFonts w:cstheme="minorHAnsi"/>
        </w:rPr>
      </w:pPr>
      <w:r w:rsidRPr="00870F33">
        <w:rPr>
          <w:rFonts w:cstheme="minorHAnsi"/>
          <w:sz w:val="24"/>
          <w:szCs w:val="24"/>
        </w:rPr>
        <w:t>42%</w:t>
      </w:r>
      <w:r w:rsidRPr="00870F33">
        <w:rPr>
          <w:rStyle w:val="FootnoteReference"/>
          <w:rFonts w:cstheme="minorHAnsi"/>
          <w:sz w:val="24"/>
          <w:szCs w:val="24"/>
        </w:rPr>
        <w:footnoteReference w:id="9"/>
      </w:r>
      <w:r w:rsidRPr="00870F33">
        <w:rPr>
          <w:rFonts w:cstheme="minorHAnsi"/>
          <w:sz w:val="24"/>
          <w:szCs w:val="24"/>
        </w:rPr>
        <w:t xml:space="preserve"> of the children aged 0-5 known to SEN services with a EHCP are from a White British ethnic background, this is followed by Pakistani, Indian and Black African background. </w:t>
      </w:r>
    </w:p>
    <w:p w14:paraId="406FC513" w14:textId="77777777" w:rsidR="00003903" w:rsidRDefault="00003903" w:rsidP="00003903">
      <w:pPr>
        <w:rPr>
          <w:rFonts w:cstheme="minorHAnsi"/>
        </w:rPr>
      </w:pPr>
    </w:p>
    <w:p w14:paraId="1AE845D8" w14:textId="1B5B20F2" w:rsidR="00003903" w:rsidRPr="005B1F6D" w:rsidRDefault="00003903" w:rsidP="005B1F6D">
      <w:pPr>
        <w:rPr>
          <w:b/>
          <w:sz w:val="24"/>
          <w:szCs w:val="24"/>
        </w:rPr>
      </w:pPr>
      <w:r w:rsidRPr="005B1F6D">
        <w:rPr>
          <w:b/>
          <w:sz w:val="24"/>
          <w:szCs w:val="24"/>
        </w:rPr>
        <w:t>Figure 3.1</w:t>
      </w:r>
      <w:r w:rsidR="009073AE">
        <w:rPr>
          <w:b/>
          <w:sz w:val="24"/>
          <w:szCs w:val="24"/>
        </w:rPr>
        <w:t>9</w:t>
      </w:r>
      <w:r w:rsidRPr="005B1F6D">
        <w:rPr>
          <w:b/>
          <w:sz w:val="24"/>
          <w:szCs w:val="24"/>
        </w:rPr>
        <w:t>: SEN Primary Area of Need</w:t>
      </w:r>
    </w:p>
    <w:p w14:paraId="5BCC1E13" w14:textId="77777777" w:rsidR="00003903" w:rsidRPr="00FC0112" w:rsidRDefault="00003903" w:rsidP="00003903">
      <w:r>
        <w:rPr>
          <w:noProof/>
        </w:rPr>
        <w:drawing>
          <wp:inline distT="0" distB="0" distL="0" distR="0" wp14:anchorId="7043CA26" wp14:editId="6DDE31C4">
            <wp:extent cx="6435090" cy="2770909"/>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41926" cy="2773852"/>
                    </a:xfrm>
                    <a:prstGeom prst="rect">
                      <a:avLst/>
                    </a:prstGeom>
                  </pic:spPr>
                </pic:pic>
              </a:graphicData>
            </a:graphic>
          </wp:inline>
        </w:drawing>
      </w:r>
    </w:p>
    <w:p w14:paraId="40AA97FE" w14:textId="77777777" w:rsidR="00003903" w:rsidRPr="00897918" w:rsidRDefault="00003903" w:rsidP="00003903">
      <w:pPr>
        <w:rPr>
          <w:sz w:val="24"/>
          <w:szCs w:val="24"/>
        </w:rPr>
      </w:pPr>
      <w:r>
        <w:rPr>
          <w:noProof/>
        </w:rPr>
        <w:t xml:space="preserve"> </w:t>
      </w:r>
      <w:r w:rsidRPr="00897918">
        <w:rPr>
          <w:noProof/>
          <w:sz w:val="24"/>
          <w:szCs w:val="24"/>
        </w:rPr>
        <w:t>Source: Sandwell SMBC SEN services</w:t>
      </w:r>
    </w:p>
    <w:p w14:paraId="6B95C3FC" w14:textId="77777777" w:rsidR="00003903" w:rsidRDefault="00003903" w:rsidP="00003903"/>
    <w:p w14:paraId="6B8C9D25" w14:textId="77777777" w:rsidR="00003903" w:rsidRPr="00A22649" w:rsidRDefault="00003903" w:rsidP="00B13D4A">
      <w:pPr>
        <w:pStyle w:val="ListParagraph"/>
        <w:numPr>
          <w:ilvl w:val="0"/>
          <w:numId w:val="25"/>
        </w:numPr>
        <w:spacing w:line="240" w:lineRule="auto"/>
        <w:ind w:left="357" w:hanging="357"/>
        <w:contextualSpacing w:val="0"/>
        <w:rPr>
          <w:rFonts w:cstheme="minorHAnsi"/>
          <w:sz w:val="24"/>
          <w:szCs w:val="24"/>
        </w:rPr>
      </w:pPr>
      <w:r w:rsidRPr="00A22649">
        <w:rPr>
          <w:rFonts w:ascii="Calibri" w:eastAsia="Times New Roman" w:hAnsi="Calibri" w:cs="Times New Roman"/>
          <w:sz w:val="24"/>
          <w:szCs w:val="24"/>
          <w:lang w:eastAsia="en-GB"/>
        </w:rPr>
        <w:t xml:space="preserve">Historically, </w:t>
      </w:r>
      <w:r>
        <w:rPr>
          <w:rFonts w:ascii="Calibri" w:eastAsia="Times New Roman" w:hAnsi="Calibri" w:cs="Times New Roman"/>
          <w:sz w:val="24"/>
          <w:szCs w:val="24"/>
          <w:lang w:eastAsia="en-GB"/>
        </w:rPr>
        <w:t xml:space="preserve">the </w:t>
      </w:r>
      <w:r w:rsidRPr="00A22649">
        <w:rPr>
          <w:rFonts w:ascii="Calibri" w:eastAsia="Times New Roman" w:hAnsi="Calibri" w:cs="Times New Roman"/>
          <w:sz w:val="24"/>
          <w:szCs w:val="24"/>
          <w:lang w:eastAsia="en-GB"/>
        </w:rPr>
        <w:t xml:space="preserve">majority of the children aged 0-5, accessing SEN services with a EHCP have had speech language and </w:t>
      </w:r>
      <w:r>
        <w:rPr>
          <w:rFonts w:ascii="Calibri" w:eastAsia="Times New Roman" w:hAnsi="Calibri" w:cs="Times New Roman"/>
          <w:sz w:val="24"/>
          <w:szCs w:val="24"/>
          <w:lang w:eastAsia="en-GB"/>
        </w:rPr>
        <w:t>c</w:t>
      </w:r>
      <w:r w:rsidRPr="00A22649">
        <w:rPr>
          <w:rFonts w:ascii="Calibri" w:eastAsia="Times New Roman" w:hAnsi="Calibri" w:cs="Times New Roman"/>
          <w:sz w:val="24"/>
          <w:szCs w:val="24"/>
          <w:lang w:eastAsia="en-GB"/>
        </w:rPr>
        <w:t xml:space="preserve">ommunication as their primary need.  Over the past five years, this has been steadily declining.  In 2018-19, 28% (33) of the total children with EHCP had speech language and </w:t>
      </w:r>
      <w:r>
        <w:rPr>
          <w:rFonts w:ascii="Calibri" w:eastAsia="Times New Roman" w:hAnsi="Calibri" w:cs="Times New Roman"/>
          <w:sz w:val="24"/>
          <w:szCs w:val="24"/>
          <w:lang w:eastAsia="en-GB"/>
        </w:rPr>
        <w:t>c</w:t>
      </w:r>
      <w:r w:rsidRPr="00A22649">
        <w:rPr>
          <w:rFonts w:ascii="Calibri" w:eastAsia="Times New Roman" w:hAnsi="Calibri" w:cs="Times New Roman"/>
          <w:sz w:val="24"/>
          <w:szCs w:val="24"/>
          <w:lang w:eastAsia="en-GB"/>
        </w:rPr>
        <w:t>ommunication as their primary need.</w:t>
      </w:r>
    </w:p>
    <w:p w14:paraId="0C75855D" w14:textId="77777777" w:rsidR="00003903" w:rsidRPr="00A22649" w:rsidRDefault="00003903" w:rsidP="00B13D4A">
      <w:pPr>
        <w:pStyle w:val="ListParagraph"/>
        <w:numPr>
          <w:ilvl w:val="0"/>
          <w:numId w:val="25"/>
        </w:numPr>
        <w:spacing w:line="240" w:lineRule="auto"/>
        <w:ind w:left="357" w:hanging="357"/>
        <w:contextualSpacing w:val="0"/>
        <w:rPr>
          <w:rFonts w:cstheme="minorHAnsi"/>
          <w:sz w:val="24"/>
          <w:szCs w:val="24"/>
        </w:rPr>
      </w:pPr>
      <w:r w:rsidRPr="00A22649">
        <w:rPr>
          <w:rFonts w:ascii="Calibri" w:eastAsia="Times New Roman" w:hAnsi="Calibri" w:cs="Times New Roman"/>
          <w:sz w:val="24"/>
          <w:szCs w:val="24"/>
          <w:lang w:eastAsia="en-GB"/>
        </w:rPr>
        <w:t xml:space="preserve">8% (11) of the children accessing SEN services with a EHCP had their primary need as Autism Spectrum </w:t>
      </w:r>
      <w:r>
        <w:rPr>
          <w:rFonts w:ascii="Calibri" w:eastAsia="Times New Roman" w:hAnsi="Calibri" w:cs="Times New Roman"/>
          <w:sz w:val="24"/>
          <w:szCs w:val="24"/>
          <w:lang w:eastAsia="en-GB"/>
        </w:rPr>
        <w:t>D</w:t>
      </w:r>
      <w:r w:rsidRPr="00A22649">
        <w:rPr>
          <w:rFonts w:ascii="Calibri" w:eastAsia="Times New Roman" w:hAnsi="Calibri" w:cs="Times New Roman"/>
          <w:sz w:val="24"/>
          <w:szCs w:val="24"/>
          <w:lang w:eastAsia="en-GB"/>
        </w:rPr>
        <w:t>iagnosis in 2016-17</w:t>
      </w:r>
      <w:r>
        <w:rPr>
          <w:rFonts w:ascii="Calibri" w:eastAsia="Times New Roman" w:hAnsi="Calibri" w:cs="Times New Roman"/>
          <w:sz w:val="24"/>
          <w:szCs w:val="24"/>
          <w:lang w:eastAsia="en-GB"/>
        </w:rPr>
        <w:t>. T</w:t>
      </w:r>
      <w:r w:rsidRPr="00A22649">
        <w:rPr>
          <w:rFonts w:ascii="Calibri" w:eastAsia="Times New Roman" w:hAnsi="Calibri" w:cs="Times New Roman"/>
          <w:sz w:val="24"/>
          <w:szCs w:val="24"/>
          <w:lang w:eastAsia="en-GB"/>
        </w:rPr>
        <w:t>he proportion of children known to SEN services with Autism Spectrum Diagnosis as primary need has increased to 30% (</w:t>
      </w:r>
      <w:r>
        <w:rPr>
          <w:rFonts w:ascii="Calibri" w:eastAsia="Times New Roman" w:hAnsi="Calibri" w:cs="Times New Roman"/>
          <w:sz w:val="24"/>
          <w:szCs w:val="24"/>
          <w:lang w:eastAsia="en-GB"/>
        </w:rPr>
        <w:t>3</w:t>
      </w:r>
      <w:r w:rsidRPr="00A22649">
        <w:rPr>
          <w:rFonts w:ascii="Calibri" w:eastAsia="Times New Roman" w:hAnsi="Calibri" w:cs="Times New Roman"/>
          <w:sz w:val="24"/>
          <w:szCs w:val="24"/>
          <w:lang w:eastAsia="en-GB"/>
        </w:rPr>
        <w:t>6) in 2018-19</w:t>
      </w:r>
      <w:r>
        <w:rPr>
          <w:rFonts w:ascii="Calibri" w:eastAsia="Times New Roman" w:hAnsi="Calibri" w:cs="Times New Roman"/>
          <w:sz w:val="24"/>
          <w:szCs w:val="24"/>
          <w:lang w:eastAsia="en-GB"/>
        </w:rPr>
        <w:t>.</w:t>
      </w:r>
    </w:p>
    <w:p w14:paraId="1389EA13" w14:textId="77777777" w:rsidR="00003903" w:rsidRDefault="00003903" w:rsidP="00003903">
      <w:pPr>
        <w:rPr>
          <w:rFonts w:cstheme="minorHAnsi"/>
        </w:rPr>
      </w:pPr>
    </w:p>
    <w:p w14:paraId="2CE5919A" w14:textId="77777777" w:rsidR="00003903" w:rsidRPr="00BD73D9" w:rsidRDefault="00003903" w:rsidP="005B1F6D">
      <w:pPr>
        <w:pStyle w:val="Heading2"/>
      </w:pPr>
      <w:r w:rsidRPr="00BD73D9">
        <w:t>Counselling Psychology</w:t>
      </w:r>
    </w:p>
    <w:p w14:paraId="7E0F8B58" w14:textId="77777777" w:rsidR="00003903" w:rsidRPr="00F776D0" w:rsidRDefault="00003903" w:rsidP="00003903">
      <w:pPr>
        <w:rPr>
          <w:rFonts w:cstheme="minorHAnsi"/>
          <w:sz w:val="24"/>
          <w:szCs w:val="24"/>
        </w:rPr>
      </w:pPr>
      <w:r w:rsidRPr="00CB6275">
        <w:rPr>
          <w:rFonts w:cstheme="minorHAnsi"/>
          <w:sz w:val="24"/>
          <w:szCs w:val="24"/>
        </w:rPr>
        <w:t xml:space="preserve">This a new 0-5 early years service for Sandwell and forms part of the early years Multi-agency Assessment for Autism (MAA) pathway. The service is supported by Paediatricians, Counselling Psychology, Therapy Services, Inclusion Support services, </w:t>
      </w:r>
      <w:r>
        <w:rPr>
          <w:rFonts w:cstheme="minorHAnsi"/>
          <w:sz w:val="24"/>
          <w:szCs w:val="24"/>
        </w:rPr>
        <w:t xml:space="preserve">and </w:t>
      </w:r>
      <w:r w:rsidRPr="00CB6275">
        <w:rPr>
          <w:rFonts w:cstheme="minorHAnsi"/>
          <w:sz w:val="24"/>
          <w:szCs w:val="24"/>
        </w:rPr>
        <w:t xml:space="preserve">ISEY/CDC Service.  </w:t>
      </w:r>
      <w:r w:rsidRPr="00F776D0">
        <w:rPr>
          <w:rFonts w:cstheme="minorHAnsi"/>
          <w:sz w:val="24"/>
          <w:szCs w:val="24"/>
        </w:rPr>
        <w:t xml:space="preserve">Between August 2018 to November 2019, 66 referrals were made to Counselling Psychology services from ISEY/CDC.  </w:t>
      </w:r>
    </w:p>
    <w:p w14:paraId="3561BD55" w14:textId="77777777" w:rsidR="00003903" w:rsidRPr="00F776D0" w:rsidRDefault="00003903" w:rsidP="00B13D4A">
      <w:pPr>
        <w:pStyle w:val="ListParagraph"/>
        <w:numPr>
          <w:ilvl w:val="0"/>
          <w:numId w:val="26"/>
        </w:numPr>
        <w:rPr>
          <w:rFonts w:cstheme="minorHAnsi"/>
          <w:sz w:val="24"/>
          <w:szCs w:val="24"/>
        </w:rPr>
      </w:pPr>
      <w:r w:rsidRPr="00F776D0">
        <w:rPr>
          <w:rFonts w:cstheme="minorHAnsi"/>
          <w:sz w:val="24"/>
          <w:szCs w:val="24"/>
        </w:rPr>
        <w:t>31 children received a psychology assessment and did not</w:t>
      </w:r>
      <w:r>
        <w:rPr>
          <w:rFonts w:cstheme="minorHAnsi"/>
          <w:sz w:val="24"/>
          <w:szCs w:val="24"/>
        </w:rPr>
        <w:t xml:space="preserve"> require an MAA to be initiated.</w:t>
      </w:r>
    </w:p>
    <w:p w14:paraId="01A94438" w14:textId="77777777" w:rsidR="00003903" w:rsidRPr="00F776D0" w:rsidRDefault="00003903" w:rsidP="00B13D4A">
      <w:pPr>
        <w:pStyle w:val="ListParagraph"/>
        <w:numPr>
          <w:ilvl w:val="0"/>
          <w:numId w:val="26"/>
        </w:numPr>
        <w:rPr>
          <w:rFonts w:cstheme="minorHAnsi"/>
          <w:sz w:val="24"/>
          <w:szCs w:val="24"/>
        </w:rPr>
      </w:pPr>
      <w:r w:rsidRPr="00F776D0">
        <w:rPr>
          <w:rFonts w:cstheme="minorHAnsi"/>
          <w:sz w:val="24"/>
          <w:szCs w:val="24"/>
        </w:rPr>
        <w:t>35 Multi Agency Assessments for Autism</w:t>
      </w:r>
      <w:r>
        <w:rPr>
          <w:rFonts w:cstheme="minorHAnsi"/>
          <w:sz w:val="24"/>
          <w:szCs w:val="24"/>
        </w:rPr>
        <w:t xml:space="preserve"> were</w:t>
      </w:r>
      <w:r w:rsidRPr="00F776D0">
        <w:rPr>
          <w:rFonts w:cstheme="minorHAnsi"/>
          <w:sz w:val="24"/>
          <w:szCs w:val="24"/>
        </w:rPr>
        <w:t xml:space="preserve"> initiated</w:t>
      </w:r>
      <w:r>
        <w:rPr>
          <w:rFonts w:cstheme="minorHAnsi"/>
          <w:sz w:val="24"/>
          <w:szCs w:val="24"/>
        </w:rPr>
        <w:t xml:space="preserve"> - </w:t>
      </w:r>
      <w:r w:rsidRPr="00F776D0">
        <w:rPr>
          <w:rFonts w:cstheme="minorHAnsi"/>
          <w:sz w:val="24"/>
          <w:szCs w:val="24"/>
        </w:rPr>
        <w:t>of those</w:t>
      </w:r>
      <w:r>
        <w:rPr>
          <w:rFonts w:cstheme="minorHAnsi"/>
          <w:sz w:val="24"/>
          <w:szCs w:val="24"/>
        </w:rPr>
        <w:t>,</w:t>
      </w:r>
      <w:r w:rsidRPr="00F776D0">
        <w:rPr>
          <w:rFonts w:cstheme="minorHAnsi"/>
          <w:sz w:val="24"/>
          <w:szCs w:val="24"/>
        </w:rPr>
        <w:t xml:space="preserve"> 7 received a diagnosis of Autism</w:t>
      </w:r>
      <w:r>
        <w:rPr>
          <w:rFonts w:cstheme="minorHAnsi"/>
          <w:sz w:val="24"/>
          <w:szCs w:val="24"/>
        </w:rPr>
        <w:t xml:space="preserve"> and </w:t>
      </w:r>
      <w:r w:rsidRPr="00F776D0">
        <w:rPr>
          <w:rFonts w:cstheme="minorHAnsi"/>
          <w:sz w:val="24"/>
          <w:szCs w:val="24"/>
        </w:rPr>
        <w:t xml:space="preserve">28 </w:t>
      </w:r>
      <w:r>
        <w:rPr>
          <w:rFonts w:cstheme="minorHAnsi"/>
          <w:sz w:val="24"/>
          <w:szCs w:val="24"/>
        </w:rPr>
        <w:t xml:space="preserve">are </w:t>
      </w:r>
      <w:r w:rsidRPr="00F776D0">
        <w:rPr>
          <w:rFonts w:cstheme="minorHAnsi"/>
          <w:sz w:val="24"/>
          <w:szCs w:val="24"/>
        </w:rPr>
        <w:t>undergoing an assessment for Autism and have a date for outcome of assessment</w:t>
      </w:r>
      <w:r>
        <w:rPr>
          <w:rFonts w:cstheme="minorHAnsi"/>
          <w:sz w:val="24"/>
          <w:szCs w:val="24"/>
        </w:rPr>
        <w:t>.</w:t>
      </w:r>
    </w:p>
    <w:p w14:paraId="55AABFC1" w14:textId="77777777" w:rsidR="00003903" w:rsidRPr="00F776D0" w:rsidRDefault="00003903" w:rsidP="00B13D4A">
      <w:pPr>
        <w:pStyle w:val="ListParagraph"/>
        <w:numPr>
          <w:ilvl w:val="0"/>
          <w:numId w:val="26"/>
        </w:numPr>
        <w:rPr>
          <w:rFonts w:cstheme="minorHAnsi"/>
          <w:sz w:val="24"/>
          <w:szCs w:val="24"/>
        </w:rPr>
      </w:pPr>
      <w:r w:rsidRPr="00F776D0">
        <w:rPr>
          <w:rFonts w:cstheme="minorHAnsi"/>
          <w:sz w:val="24"/>
          <w:szCs w:val="24"/>
        </w:rPr>
        <w:t>Data shows 31 children were referred to Counselling Psychology within 12 months of a referral into ISEY, 4 within 12-24 months and 3 within 25-30months.</w:t>
      </w:r>
    </w:p>
    <w:p w14:paraId="128B3DC9" w14:textId="77777777" w:rsidR="00003903" w:rsidRPr="00F776D0" w:rsidRDefault="00003903" w:rsidP="00B13D4A">
      <w:pPr>
        <w:pStyle w:val="ListParagraph"/>
        <w:numPr>
          <w:ilvl w:val="0"/>
          <w:numId w:val="26"/>
        </w:numPr>
        <w:rPr>
          <w:rFonts w:cstheme="minorHAnsi"/>
          <w:sz w:val="24"/>
          <w:szCs w:val="24"/>
        </w:rPr>
      </w:pPr>
      <w:r>
        <w:rPr>
          <w:rFonts w:cstheme="minorHAnsi"/>
          <w:sz w:val="24"/>
          <w:szCs w:val="24"/>
        </w:rPr>
        <w:t>The m</w:t>
      </w:r>
      <w:r w:rsidRPr="00F776D0">
        <w:rPr>
          <w:rFonts w:cstheme="minorHAnsi"/>
          <w:sz w:val="24"/>
          <w:szCs w:val="24"/>
        </w:rPr>
        <w:t>ajority of the children referred were referred at age 2 years old.</w:t>
      </w:r>
    </w:p>
    <w:p w14:paraId="02CE11D4" w14:textId="77777777" w:rsidR="00003903" w:rsidRPr="00F776D0" w:rsidRDefault="00003903" w:rsidP="00B13D4A">
      <w:pPr>
        <w:pStyle w:val="ListParagraph"/>
        <w:numPr>
          <w:ilvl w:val="0"/>
          <w:numId w:val="26"/>
        </w:numPr>
        <w:spacing w:line="240" w:lineRule="auto"/>
        <w:rPr>
          <w:rFonts w:cstheme="minorHAnsi"/>
          <w:sz w:val="24"/>
          <w:szCs w:val="24"/>
        </w:rPr>
      </w:pPr>
      <w:r w:rsidRPr="00F776D0">
        <w:rPr>
          <w:rFonts w:cstheme="minorHAnsi"/>
          <w:sz w:val="24"/>
          <w:szCs w:val="24"/>
        </w:rPr>
        <w:t xml:space="preserve">Whilst children receive support post diagnosis from ISEY/CDC and Psychology this is an area for development. </w:t>
      </w:r>
    </w:p>
    <w:p w14:paraId="368EA245" w14:textId="77777777" w:rsidR="00003903" w:rsidRPr="00EB788D" w:rsidRDefault="00003903" w:rsidP="00003903">
      <w:pPr>
        <w:rPr>
          <w:rFonts w:cstheme="minorHAnsi"/>
          <w:b/>
          <w:sz w:val="28"/>
          <w:szCs w:val="28"/>
        </w:rPr>
      </w:pPr>
    </w:p>
    <w:p w14:paraId="18F40A03" w14:textId="77777777" w:rsidR="00003903" w:rsidRPr="00BD73D9" w:rsidRDefault="00003903" w:rsidP="005B1F6D">
      <w:pPr>
        <w:pStyle w:val="Heading2"/>
      </w:pPr>
      <w:r w:rsidRPr="00BD73D9">
        <w:t xml:space="preserve">Visual Impairment </w:t>
      </w:r>
    </w:p>
    <w:p w14:paraId="6530D082" w14:textId="1264C311" w:rsidR="00003903" w:rsidRPr="0050155A" w:rsidRDefault="00003903" w:rsidP="00003903">
      <w:pPr>
        <w:rPr>
          <w:rFonts w:cstheme="minorHAnsi"/>
          <w:sz w:val="24"/>
          <w:szCs w:val="24"/>
        </w:rPr>
      </w:pPr>
      <w:r w:rsidRPr="0050155A">
        <w:rPr>
          <w:rFonts w:cstheme="minorHAnsi"/>
          <w:sz w:val="24"/>
          <w:szCs w:val="24"/>
        </w:rPr>
        <w:t>In 2018-2019, there was a total of 37 children aged 0-5 referred for visual impairments. Data from the last 4 years shows a decline in the number of children being referred from 55 in 2015-2016 to 37 in 2018-19.  Historically there have been more boys than girls referred, however figure 3.</w:t>
      </w:r>
      <w:r w:rsidR="009073AE">
        <w:rPr>
          <w:rFonts w:cstheme="minorHAnsi"/>
          <w:sz w:val="24"/>
          <w:szCs w:val="24"/>
        </w:rPr>
        <w:t xml:space="preserve">20 </w:t>
      </w:r>
      <w:r w:rsidRPr="0050155A">
        <w:rPr>
          <w:rFonts w:cstheme="minorHAnsi"/>
          <w:sz w:val="24"/>
          <w:szCs w:val="24"/>
        </w:rPr>
        <w:t>below, shows that in the most recent year there has been almost an even split between boys and girls being referred.</w:t>
      </w:r>
    </w:p>
    <w:p w14:paraId="1CBBE6A4" w14:textId="3323E4C3" w:rsidR="00003903" w:rsidRPr="0050155A" w:rsidRDefault="00003903" w:rsidP="00003903">
      <w:pPr>
        <w:rPr>
          <w:rFonts w:cs="Arial"/>
          <w:b/>
        </w:rPr>
      </w:pPr>
      <w:r>
        <w:rPr>
          <w:rFonts w:cs="Arial"/>
          <w:b/>
          <w:sz w:val="24"/>
          <w:szCs w:val="24"/>
        </w:rPr>
        <w:br/>
        <w:t>Figure</w:t>
      </w:r>
      <w:r w:rsidRPr="00F86761">
        <w:rPr>
          <w:rFonts w:cs="Arial"/>
          <w:b/>
          <w:sz w:val="24"/>
          <w:szCs w:val="24"/>
        </w:rPr>
        <w:t xml:space="preserve"> 3.</w:t>
      </w:r>
      <w:r w:rsidR="009073AE">
        <w:rPr>
          <w:rFonts w:cs="Arial"/>
          <w:b/>
          <w:sz w:val="24"/>
          <w:szCs w:val="24"/>
        </w:rPr>
        <w:t>20</w:t>
      </w:r>
      <w:r w:rsidRPr="0050155A">
        <w:rPr>
          <w:rFonts w:cs="Arial"/>
          <w:b/>
          <w:sz w:val="24"/>
          <w:szCs w:val="24"/>
        </w:rPr>
        <w:t>: Sandwell Inclusion Support - Vision Impairment Referral - 0-5 years old</w:t>
      </w:r>
      <w:r w:rsidRPr="0050155A">
        <w:rPr>
          <w:rFonts w:cs="Arial"/>
          <w:b/>
        </w:rPr>
        <w:t xml:space="preserve"> </w:t>
      </w:r>
    </w:p>
    <w:p w14:paraId="6F8BEC21" w14:textId="77777777" w:rsidR="00003903" w:rsidRDefault="00003903" w:rsidP="00003903">
      <w:pPr>
        <w:rPr>
          <w:rFonts w:cstheme="majorHAnsi"/>
          <w:sz w:val="24"/>
          <w:szCs w:val="24"/>
        </w:rPr>
      </w:pPr>
      <w:r>
        <w:rPr>
          <w:noProof/>
        </w:rPr>
        <w:drawing>
          <wp:inline distT="0" distB="0" distL="0" distR="0" wp14:anchorId="1E8583B7" wp14:editId="002821D8">
            <wp:extent cx="5461000" cy="2844800"/>
            <wp:effectExtent l="0" t="0" r="6350" b="12700"/>
            <wp:docPr id="28" name="Chart 28">
              <a:extLst xmlns:a="http://schemas.openxmlformats.org/drawingml/2006/main">
                <a:ext uri="{FF2B5EF4-FFF2-40B4-BE49-F238E27FC236}">
                  <a16:creationId xmlns:a16="http://schemas.microsoft.com/office/drawing/2014/main" id="{374E460A-E7B1-4F03-B442-FB3AC64D4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5EEA3EC" w14:textId="77777777" w:rsidR="00003903" w:rsidRPr="0050155A" w:rsidRDefault="00003903" w:rsidP="00003903">
      <w:pPr>
        <w:rPr>
          <w:rFonts w:cstheme="majorHAnsi"/>
          <w:sz w:val="24"/>
          <w:szCs w:val="24"/>
        </w:rPr>
      </w:pPr>
      <w:r w:rsidRPr="0050155A">
        <w:rPr>
          <w:rFonts w:cstheme="majorHAnsi"/>
          <w:sz w:val="24"/>
          <w:szCs w:val="24"/>
        </w:rPr>
        <w:t xml:space="preserve">Source: SMBC Inclusion Support – Sensory Team </w:t>
      </w:r>
    </w:p>
    <w:p w14:paraId="0F139158" w14:textId="77777777" w:rsidR="00003903" w:rsidRPr="00E637D4" w:rsidRDefault="00003903" w:rsidP="00003903">
      <w:pPr>
        <w:rPr>
          <w:rFonts w:cstheme="majorHAnsi"/>
        </w:rPr>
      </w:pPr>
    </w:p>
    <w:p w14:paraId="7CBB9310" w14:textId="35BBF110" w:rsidR="00003903" w:rsidRPr="0050155A" w:rsidRDefault="00003903" w:rsidP="00003903">
      <w:pPr>
        <w:rPr>
          <w:rFonts w:cstheme="minorHAnsi"/>
          <w:sz w:val="24"/>
          <w:szCs w:val="24"/>
        </w:rPr>
      </w:pPr>
      <w:r w:rsidRPr="0050155A">
        <w:rPr>
          <w:rFonts w:cstheme="minorHAnsi"/>
          <w:sz w:val="24"/>
          <w:szCs w:val="24"/>
        </w:rPr>
        <w:t>Figure 3.2</w:t>
      </w:r>
      <w:r w:rsidR="009073AE">
        <w:rPr>
          <w:rFonts w:cstheme="minorHAnsi"/>
          <w:sz w:val="24"/>
          <w:szCs w:val="24"/>
        </w:rPr>
        <w:t>1</w:t>
      </w:r>
      <w:r w:rsidRPr="0050155A">
        <w:rPr>
          <w:rFonts w:cstheme="minorHAnsi"/>
          <w:sz w:val="24"/>
          <w:szCs w:val="24"/>
        </w:rPr>
        <w:t xml:space="preserve"> shows that the majority of referrals are made in the very early years.  Majority of the referrals for vision impairment are made for children under 2 years old.</w:t>
      </w:r>
    </w:p>
    <w:p w14:paraId="4305D28F" w14:textId="77777777" w:rsidR="00003903" w:rsidRDefault="00003903" w:rsidP="00003903">
      <w:pPr>
        <w:rPr>
          <w:rFonts w:asciiTheme="majorHAnsi" w:hAnsiTheme="majorHAnsi" w:cstheme="majorHAnsi"/>
          <w:sz w:val="24"/>
          <w:szCs w:val="24"/>
        </w:rPr>
      </w:pPr>
    </w:p>
    <w:p w14:paraId="516B9AA1" w14:textId="77777777" w:rsidR="00003903" w:rsidRDefault="00003903" w:rsidP="00003903">
      <w:pPr>
        <w:spacing w:after="160" w:line="259" w:lineRule="auto"/>
        <w:rPr>
          <w:rFonts w:cs="Arial"/>
          <w:b/>
          <w:sz w:val="24"/>
          <w:szCs w:val="24"/>
        </w:rPr>
      </w:pPr>
      <w:r>
        <w:rPr>
          <w:rFonts w:cs="Arial"/>
          <w:b/>
          <w:sz w:val="24"/>
          <w:szCs w:val="24"/>
        </w:rPr>
        <w:br w:type="page"/>
      </w:r>
    </w:p>
    <w:p w14:paraId="2817F4CC" w14:textId="1709DFF4" w:rsidR="00003903" w:rsidRPr="0050155A" w:rsidRDefault="00003903" w:rsidP="00003903">
      <w:pPr>
        <w:rPr>
          <w:rFonts w:cs="Arial"/>
          <w:b/>
        </w:rPr>
      </w:pPr>
      <w:r>
        <w:rPr>
          <w:rFonts w:cs="Arial"/>
          <w:b/>
          <w:sz w:val="24"/>
          <w:szCs w:val="24"/>
        </w:rPr>
        <w:t>Figure</w:t>
      </w:r>
      <w:r w:rsidRPr="00F86761">
        <w:rPr>
          <w:rFonts w:cs="Arial"/>
          <w:b/>
          <w:sz w:val="24"/>
          <w:szCs w:val="24"/>
        </w:rPr>
        <w:t xml:space="preserve"> 3.</w:t>
      </w:r>
      <w:r>
        <w:rPr>
          <w:rFonts w:cs="Arial"/>
          <w:b/>
          <w:sz w:val="24"/>
          <w:szCs w:val="24"/>
        </w:rPr>
        <w:t>2</w:t>
      </w:r>
      <w:r w:rsidR="009073AE">
        <w:rPr>
          <w:rFonts w:cs="Arial"/>
          <w:b/>
          <w:sz w:val="24"/>
          <w:szCs w:val="24"/>
        </w:rPr>
        <w:t>1</w:t>
      </w:r>
      <w:r w:rsidRPr="0050155A">
        <w:rPr>
          <w:rFonts w:cs="Arial"/>
          <w:b/>
          <w:sz w:val="24"/>
          <w:szCs w:val="24"/>
        </w:rPr>
        <w:t>:</w:t>
      </w:r>
      <w:r>
        <w:rPr>
          <w:rFonts w:cs="Arial"/>
          <w:b/>
          <w:sz w:val="24"/>
          <w:szCs w:val="24"/>
        </w:rPr>
        <w:t xml:space="preserve"> </w:t>
      </w:r>
      <w:r w:rsidRPr="0050155A">
        <w:rPr>
          <w:rFonts w:cs="Arial"/>
          <w:b/>
          <w:sz w:val="24"/>
          <w:szCs w:val="24"/>
          <w:lang w:val="en-US"/>
        </w:rPr>
        <w:t>Age at referral Inclusion Support Services - Vision Impairment services</w:t>
      </w:r>
    </w:p>
    <w:p w14:paraId="3A16F593" w14:textId="77777777" w:rsidR="00003903" w:rsidRDefault="00003903" w:rsidP="00003903">
      <w:pPr>
        <w:rPr>
          <w:rFonts w:cstheme="majorHAnsi"/>
          <w:sz w:val="24"/>
          <w:szCs w:val="24"/>
        </w:rPr>
      </w:pPr>
      <w:r>
        <w:rPr>
          <w:noProof/>
        </w:rPr>
        <w:drawing>
          <wp:inline distT="0" distB="0" distL="0" distR="0" wp14:anchorId="34C11178" wp14:editId="1EA715D7">
            <wp:extent cx="5511800" cy="3041650"/>
            <wp:effectExtent l="0" t="0" r="12700" b="6350"/>
            <wp:docPr id="59" name="Chart 59">
              <a:extLst xmlns:a="http://schemas.openxmlformats.org/drawingml/2006/main">
                <a:ext uri="{FF2B5EF4-FFF2-40B4-BE49-F238E27FC236}">
                  <a16:creationId xmlns:a16="http://schemas.microsoft.com/office/drawing/2014/main" id="{0770236A-93C7-410A-854F-B4E6FF129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DD7DC79" w14:textId="77777777" w:rsidR="00003903" w:rsidRPr="0050155A" w:rsidRDefault="00003903" w:rsidP="00003903">
      <w:pPr>
        <w:rPr>
          <w:rFonts w:cstheme="majorHAnsi"/>
          <w:sz w:val="24"/>
          <w:szCs w:val="24"/>
        </w:rPr>
      </w:pPr>
      <w:r w:rsidRPr="0050155A">
        <w:rPr>
          <w:rFonts w:cstheme="majorHAnsi"/>
          <w:sz w:val="24"/>
          <w:szCs w:val="24"/>
        </w:rPr>
        <w:t xml:space="preserve">Source: SMBC Inclusion Support – Sensory Team </w:t>
      </w:r>
    </w:p>
    <w:p w14:paraId="7D31E026" w14:textId="77777777" w:rsidR="00003903" w:rsidRDefault="00003903" w:rsidP="00003903">
      <w:pPr>
        <w:rPr>
          <w:rFonts w:cstheme="majorHAnsi"/>
          <w:sz w:val="32"/>
          <w:szCs w:val="32"/>
        </w:rPr>
      </w:pPr>
    </w:p>
    <w:p w14:paraId="7D711BF8" w14:textId="77777777" w:rsidR="00003903" w:rsidRPr="0050155A" w:rsidRDefault="00003903" w:rsidP="00B13D4A">
      <w:pPr>
        <w:pStyle w:val="ListParagraph"/>
        <w:numPr>
          <w:ilvl w:val="0"/>
          <w:numId w:val="25"/>
        </w:numPr>
        <w:spacing w:line="240" w:lineRule="auto"/>
        <w:ind w:left="357" w:hanging="357"/>
        <w:contextualSpacing w:val="0"/>
        <w:rPr>
          <w:rFonts w:cstheme="minorHAnsi"/>
        </w:rPr>
      </w:pPr>
      <w:r w:rsidRPr="0050155A">
        <w:rPr>
          <w:rFonts w:cstheme="minorHAnsi"/>
          <w:sz w:val="24"/>
          <w:szCs w:val="24"/>
        </w:rPr>
        <w:t>41%</w:t>
      </w:r>
      <w:r w:rsidRPr="0050155A">
        <w:rPr>
          <w:rStyle w:val="FootnoteReference"/>
          <w:rFonts w:cstheme="minorHAnsi"/>
          <w:sz w:val="24"/>
          <w:szCs w:val="24"/>
        </w:rPr>
        <w:footnoteReference w:id="10"/>
      </w:r>
      <w:r w:rsidRPr="0050155A">
        <w:rPr>
          <w:rFonts w:cstheme="minorHAnsi"/>
          <w:sz w:val="24"/>
          <w:szCs w:val="24"/>
        </w:rPr>
        <w:t xml:space="preserve"> of the children aged 0-5 referred to vision impairment services are from a White British ethnic background, this is followed by Indian, Pakistani, and Other White ethnicity.</w:t>
      </w:r>
    </w:p>
    <w:p w14:paraId="774AF732" w14:textId="77777777" w:rsidR="00003903" w:rsidRPr="0050155A" w:rsidRDefault="00003903" w:rsidP="00B13D4A">
      <w:pPr>
        <w:pStyle w:val="ListParagraph"/>
        <w:numPr>
          <w:ilvl w:val="0"/>
          <w:numId w:val="25"/>
        </w:numPr>
        <w:spacing w:line="240" w:lineRule="auto"/>
        <w:ind w:left="357" w:hanging="357"/>
        <w:contextualSpacing w:val="0"/>
        <w:rPr>
          <w:rFonts w:cstheme="minorHAnsi"/>
          <w:sz w:val="24"/>
          <w:szCs w:val="24"/>
        </w:rPr>
      </w:pPr>
      <w:r w:rsidRPr="0050155A">
        <w:rPr>
          <w:rFonts w:cstheme="minorHAnsi"/>
          <w:sz w:val="24"/>
          <w:szCs w:val="24"/>
        </w:rPr>
        <w:t>Although data is collected on child’s town of residence, due to small numbers the full analysis is not provided here for each town.  2018–2019 shows Tipton as having the highest rate at 2.1 per 1,000 children, followed by Oldbury at 1.9 per 1,000 children aged 0-5.  This is higher than the overall rate for Sandwell at 12.6.</w:t>
      </w:r>
    </w:p>
    <w:p w14:paraId="11FA2DFB" w14:textId="77777777" w:rsidR="00003903" w:rsidRDefault="00003903" w:rsidP="00003903">
      <w:pPr>
        <w:spacing w:line="240" w:lineRule="auto"/>
        <w:rPr>
          <w:rFonts w:cstheme="minorHAnsi"/>
          <w:sz w:val="24"/>
          <w:szCs w:val="24"/>
          <w:highlight w:val="yellow"/>
        </w:rPr>
      </w:pPr>
    </w:p>
    <w:p w14:paraId="45C2B08D" w14:textId="5EB2B7E6" w:rsidR="00003903" w:rsidRPr="005B1F6D" w:rsidRDefault="00003903" w:rsidP="00003903">
      <w:pPr>
        <w:spacing w:line="240" w:lineRule="auto"/>
        <w:rPr>
          <w:rFonts w:cstheme="minorHAnsi"/>
          <w:sz w:val="24"/>
          <w:szCs w:val="24"/>
        </w:rPr>
      </w:pPr>
      <w:r w:rsidRPr="005B1F6D">
        <w:rPr>
          <w:rFonts w:cstheme="minorHAnsi"/>
          <w:sz w:val="24"/>
          <w:szCs w:val="24"/>
        </w:rPr>
        <w:t>Figure 3.2</w:t>
      </w:r>
      <w:r w:rsidR="009073AE">
        <w:rPr>
          <w:rFonts w:cstheme="minorHAnsi"/>
          <w:sz w:val="24"/>
          <w:szCs w:val="24"/>
        </w:rPr>
        <w:t>2</w:t>
      </w:r>
      <w:r w:rsidRPr="005B1F6D">
        <w:rPr>
          <w:rFonts w:cstheme="minorHAnsi"/>
          <w:sz w:val="24"/>
          <w:szCs w:val="24"/>
        </w:rPr>
        <w:t xml:space="preserve"> shows a substantial decline in the number of referrals from Health Services, from 30 (55% of total referrals received) in 2015-16 to 11 (30% of the total number of referrals) in 2018-2019.  In comparison, the referrals from ISEY have been steadily increasing since 2015-2016 at 12 (22% of total referrals) to 10 (41% total referrals) in 2018-2019.</w:t>
      </w:r>
    </w:p>
    <w:p w14:paraId="58FBFE2B" w14:textId="77777777" w:rsidR="00003903" w:rsidRDefault="00003903" w:rsidP="00003903">
      <w:pPr>
        <w:spacing w:line="240" w:lineRule="auto"/>
        <w:rPr>
          <w:rFonts w:cstheme="minorHAnsi"/>
          <w:sz w:val="24"/>
          <w:szCs w:val="24"/>
        </w:rPr>
      </w:pPr>
    </w:p>
    <w:p w14:paraId="56529581" w14:textId="77777777" w:rsidR="00003903" w:rsidRDefault="00003903" w:rsidP="00003903">
      <w:pPr>
        <w:spacing w:after="160" w:line="259" w:lineRule="auto"/>
        <w:rPr>
          <w:rFonts w:cs="Arial"/>
          <w:b/>
          <w:sz w:val="24"/>
          <w:szCs w:val="24"/>
        </w:rPr>
      </w:pPr>
      <w:r>
        <w:rPr>
          <w:rFonts w:cs="Arial"/>
          <w:b/>
          <w:sz w:val="24"/>
          <w:szCs w:val="24"/>
        </w:rPr>
        <w:br w:type="page"/>
      </w:r>
    </w:p>
    <w:p w14:paraId="393E668E" w14:textId="680A9CF7" w:rsidR="00003903" w:rsidRPr="00CC65B1" w:rsidRDefault="00003903" w:rsidP="00003903">
      <w:pPr>
        <w:rPr>
          <w:rFonts w:cs="Arial"/>
          <w:b/>
        </w:rPr>
      </w:pPr>
      <w:r>
        <w:rPr>
          <w:rFonts w:cs="Arial"/>
          <w:b/>
          <w:sz w:val="24"/>
          <w:szCs w:val="24"/>
        </w:rPr>
        <w:t>Figure</w:t>
      </w:r>
      <w:r w:rsidRPr="00F86761">
        <w:rPr>
          <w:rFonts w:cs="Arial"/>
          <w:b/>
          <w:sz w:val="24"/>
          <w:szCs w:val="24"/>
        </w:rPr>
        <w:t xml:space="preserve"> 3.</w:t>
      </w:r>
      <w:r>
        <w:rPr>
          <w:rFonts w:cs="Arial"/>
          <w:b/>
          <w:sz w:val="24"/>
          <w:szCs w:val="24"/>
        </w:rPr>
        <w:t>2</w:t>
      </w:r>
      <w:r w:rsidR="009073AE">
        <w:rPr>
          <w:rFonts w:cs="Arial"/>
          <w:b/>
          <w:sz w:val="24"/>
          <w:szCs w:val="24"/>
        </w:rPr>
        <w:t>2</w:t>
      </w:r>
      <w:r w:rsidRPr="0050155A">
        <w:rPr>
          <w:rFonts w:cs="Arial"/>
          <w:b/>
          <w:sz w:val="24"/>
          <w:szCs w:val="24"/>
        </w:rPr>
        <w:t>:</w:t>
      </w:r>
      <w:r>
        <w:rPr>
          <w:rFonts w:cs="Arial"/>
          <w:b/>
          <w:sz w:val="24"/>
          <w:szCs w:val="24"/>
        </w:rPr>
        <w:t xml:space="preserve"> </w:t>
      </w:r>
      <w:r w:rsidRPr="00CC65B1">
        <w:rPr>
          <w:rFonts w:cs="Arial"/>
          <w:b/>
          <w:sz w:val="24"/>
          <w:szCs w:val="24"/>
        </w:rPr>
        <w:t>Vision Impairment Services - Child Referral Point</w:t>
      </w:r>
    </w:p>
    <w:p w14:paraId="29F1369F" w14:textId="77777777" w:rsidR="00003903" w:rsidRDefault="00003903" w:rsidP="00003903">
      <w:pPr>
        <w:rPr>
          <w:rFonts w:cstheme="majorHAnsi"/>
          <w:sz w:val="24"/>
          <w:szCs w:val="24"/>
        </w:rPr>
      </w:pPr>
      <w:r>
        <w:rPr>
          <w:noProof/>
        </w:rPr>
        <w:drawing>
          <wp:inline distT="0" distB="0" distL="0" distR="0" wp14:anchorId="2974AEA5" wp14:editId="0AFD9FB1">
            <wp:extent cx="5041900" cy="2876550"/>
            <wp:effectExtent l="0" t="0" r="6350" b="0"/>
            <wp:docPr id="60" name="Chart 60">
              <a:extLst xmlns:a="http://schemas.openxmlformats.org/drawingml/2006/main">
                <a:ext uri="{FF2B5EF4-FFF2-40B4-BE49-F238E27FC236}">
                  <a16:creationId xmlns:a16="http://schemas.microsoft.com/office/drawing/2014/main" id="{CC03A1AD-492C-4CBF-986A-30ACB2279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5C92DDB" w14:textId="77777777" w:rsidR="00003903" w:rsidRPr="00CC65B1" w:rsidRDefault="00003903" w:rsidP="00003903">
      <w:pPr>
        <w:rPr>
          <w:rFonts w:cstheme="majorHAnsi"/>
          <w:sz w:val="24"/>
          <w:szCs w:val="24"/>
        </w:rPr>
      </w:pPr>
      <w:r w:rsidRPr="00CC65B1">
        <w:rPr>
          <w:rFonts w:cstheme="majorHAnsi"/>
          <w:sz w:val="24"/>
          <w:szCs w:val="24"/>
        </w:rPr>
        <w:t>Source: SMBC Inclusion Support – Sensory Team</w:t>
      </w:r>
    </w:p>
    <w:p w14:paraId="31F0F7F6" w14:textId="77777777" w:rsidR="00003903" w:rsidRDefault="00003903" w:rsidP="00003903">
      <w:pPr>
        <w:rPr>
          <w:rFonts w:cstheme="majorHAnsi"/>
          <w:sz w:val="24"/>
          <w:szCs w:val="24"/>
        </w:rPr>
      </w:pPr>
    </w:p>
    <w:p w14:paraId="04656433" w14:textId="77777777" w:rsidR="00003903" w:rsidRPr="00BD73D9" w:rsidRDefault="00003903" w:rsidP="005B1F6D">
      <w:pPr>
        <w:pStyle w:val="Heading2"/>
      </w:pPr>
      <w:r w:rsidRPr="00BD73D9">
        <w:t xml:space="preserve">Hearing Impairment </w:t>
      </w:r>
    </w:p>
    <w:p w14:paraId="40C1A51C" w14:textId="77777777" w:rsidR="00003903" w:rsidRPr="00CC65B1" w:rsidRDefault="00003903" w:rsidP="00003903">
      <w:pPr>
        <w:rPr>
          <w:rFonts w:cstheme="minorHAnsi"/>
          <w:sz w:val="24"/>
          <w:szCs w:val="24"/>
        </w:rPr>
      </w:pPr>
      <w:r w:rsidRPr="00CC65B1">
        <w:rPr>
          <w:rFonts w:cstheme="minorHAnsi"/>
          <w:sz w:val="24"/>
          <w:szCs w:val="24"/>
        </w:rPr>
        <w:t>There has been a steady increase over the past 5 years in the number of referrals received for children aged 0-5 years old with hearing impairments.  Since 2014-15 to 2018-19, there has been a 45% increase in the number of referrals.  In 2018-19, there was 55 referrals; a rate of 2.1 children for every 1,000 0-5-year olds in Sandwell.</w:t>
      </w:r>
    </w:p>
    <w:p w14:paraId="5FE7FFEE" w14:textId="77777777" w:rsidR="00003903" w:rsidRDefault="00003903" w:rsidP="00003903">
      <w:pPr>
        <w:rPr>
          <w:rFonts w:cs="Arial"/>
          <w:b/>
          <w:sz w:val="24"/>
          <w:szCs w:val="24"/>
        </w:rPr>
      </w:pPr>
    </w:p>
    <w:p w14:paraId="625248B7" w14:textId="1E6F1867" w:rsidR="00003903" w:rsidRDefault="00003903" w:rsidP="00003903">
      <w:pPr>
        <w:rPr>
          <w:rFonts w:cstheme="majorHAnsi"/>
          <w:sz w:val="24"/>
          <w:szCs w:val="24"/>
        </w:rPr>
      </w:pPr>
      <w:r>
        <w:rPr>
          <w:rFonts w:cs="Arial"/>
          <w:b/>
          <w:sz w:val="24"/>
          <w:szCs w:val="24"/>
        </w:rPr>
        <w:t>Figure</w:t>
      </w:r>
      <w:r w:rsidRPr="00F86761">
        <w:rPr>
          <w:rFonts w:cs="Arial"/>
          <w:b/>
          <w:sz w:val="24"/>
          <w:szCs w:val="24"/>
        </w:rPr>
        <w:t xml:space="preserve"> 3.</w:t>
      </w:r>
      <w:r>
        <w:rPr>
          <w:rFonts w:cs="Arial"/>
          <w:b/>
          <w:sz w:val="24"/>
          <w:szCs w:val="24"/>
        </w:rPr>
        <w:t>2</w:t>
      </w:r>
      <w:r w:rsidR="009073AE">
        <w:rPr>
          <w:rFonts w:cs="Arial"/>
          <w:b/>
          <w:sz w:val="24"/>
          <w:szCs w:val="24"/>
        </w:rPr>
        <w:t>3</w:t>
      </w:r>
      <w:r w:rsidRPr="0050155A">
        <w:rPr>
          <w:rFonts w:cs="Arial"/>
          <w:b/>
          <w:sz w:val="24"/>
          <w:szCs w:val="24"/>
        </w:rPr>
        <w:t>:</w:t>
      </w:r>
      <w:r>
        <w:rPr>
          <w:rFonts w:cs="Arial"/>
          <w:b/>
          <w:sz w:val="24"/>
          <w:szCs w:val="24"/>
        </w:rPr>
        <w:t xml:space="preserve"> </w:t>
      </w:r>
      <w:r w:rsidRPr="00CC65B1">
        <w:rPr>
          <w:rFonts w:cs="Arial"/>
          <w:b/>
          <w:sz w:val="24"/>
          <w:szCs w:val="24"/>
          <w:lang w:val="en-US"/>
        </w:rPr>
        <w:t>Inclusion Support - Number of Hearing Impairment Referrals</w:t>
      </w:r>
      <w:r>
        <w:rPr>
          <w:rFonts w:cs="Arial"/>
          <w:b/>
          <w:sz w:val="24"/>
          <w:szCs w:val="24"/>
          <w:lang w:val="en-US"/>
        </w:rPr>
        <w:t xml:space="preserve"> (</w:t>
      </w:r>
      <w:r w:rsidRPr="00CC65B1">
        <w:rPr>
          <w:rFonts w:cs="Arial"/>
          <w:b/>
          <w:sz w:val="24"/>
          <w:szCs w:val="24"/>
          <w:lang w:val="en-US"/>
        </w:rPr>
        <w:t>0-5 year olds</w:t>
      </w:r>
      <w:r>
        <w:rPr>
          <w:rFonts w:cs="Arial"/>
          <w:b/>
          <w:sz w:val="24"/>
          <w:szCs w:val="24"/>
          <w:lang w:val="en-US"/>
        </w:rPr>
        <w:t>)</w:t>
      </w:r>
    </w:p>
    <w:p w14:paraId="09BC8CF8" w14:textId="77777777" w:rsidR="00003903" w:rsidRDefault="00003903" w:rsidP="00003903">
      <w:pPr>
        <w:rPr>
          <w:rFonts w:cstheme="majorHAnsi"/>
          <w:sz w:val="24"/>
          <w:szCs w:val="24"/>
        </w:rPr>
      </w:pPr>
      <w:r>
        <w:rPr>
          <w:noProof/>
        </w:rPr>
        <w:drawing>
          <wp:inline distT="0" distB="0" distL="0" distR="0" wp14:anchorId="0AEFFAC9" wp14:editId="3EE40F36">
            <wp:extent cx="5473700" cy="2717800"/>
            <wp:effectExtent l="0" t="0" r="12700" b="6350"/>
            <wp:docPr id="61" name="Chart 61">
              <a:extLst xmlns:a="http://schemas.openxmlformats.org/drawingml/2006/main">
                <a:ext uri="{FF2B5EF4-FFF2-40B4-BE49-F238E27FC236}">
                  <a16:creationId xmlns:a16="http://schemas.microsoft.com/office/drawing/2014/main" id="{423587C4-161A-4399-AD3F-550F0D50C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178BC92" w14:textId="77777777" w:rsidR="00003903" w:rsidRPr="00CC65B1" w:rsidRDefault="00003903" w:rsidP="00003903">
      <w:pPr>
        <w:rPr>
          <w:rFonts w:cstheme="majorHAnsi"/>
          <w:sz w:val="24"/>
          <w:szCs w:val="24"/>
        </w:rPr>
      </w:pPr>
      <w:r w:rsidRPr="00CC65B1">
        <w:rPr>
          <w:rFonts w:cstheme="majorHAnsi"/>
          <w:sz w:val="24"/>
          <w:szCs w:val="24"/>
        </w:rPr>
        <w:t>Source: SMBC Inclusion Support – Sensory Team</w:t>
      </w:r>
    </w:p>
    <w:p w14:paraId="2FE6E28A" w14:textId="6E5F97C2" w:rsidR="00003903" w:rsidRPr="00746C05" w:rsidRDefault="00003903" w:rsidP="00003903">
      <w:pPr>
        <w:rPr>
          <w:rFonts w:cstheme="minorHAnsi"/>
          <w:sz w:val="24"/>
          <w:szCs w:val="24"/>
        </w:rPr>
      </w:pPr>
      <w:r w:rsidRPr="00746C05">
        <w:rPr>
          <w:rFonts w:cstheme="minorHAnsi"/>
          <w:sz w:val="24"/>
          <w:szCs w:val="24"/>
        </w:rPr>
        <w:t>Figure 3.2</w:t>
      </w:r>
      <w:r w:rsidR="009073AE">
        <w:rPr>
          <w:rFonts w:cstheme="minorHAnsi"/>
          <w:sz w:val="24"/>
          <w:szCs w:val="24"/>
        </w:rPr>
        <w:t>4</w:t>
      </w:r>
      <w:r w:rsidRPr="00746C05">
        <w:rPr>
          <w:rFonts w:cstheme="minorHAnsi"/>
          <w:sz w:val="24"/>
          <w:szCs w:val="24"/>
        </w:rPr>
        <w:t xml:space="preserve"> below shows that there are more boys than girls being referred with hearing impairments.  </w:t>
      </w:r>
      <w:r w:rsidRPr="00746C05">
        <w:rPr>
          <w:rFonts w:cstheme="minorHAnsi"/>
          <w:sz w:val="24"/>
          <w:szCs w:val="24"/>
        </w:rPr>
        <w:br/>
      </w:r>
    </w:p>
    <w:p w14:paraId="478D9622" w14:textId="5D6448E8" w:rsidR="00003903" w:rsidRPr="00CC65B1" w:rsidRDefault="00003903" w:rsidP="00003903">
      <w:pPr>
        <w:rPr>
          <w:rFonts w:cstheme="majorHAnsi"/>
          <w:sz w:val="24"/>
          <w:szCs w:val="24"/>
        </w:rPr>
      </w:pPr>
      <w:r>
        <w:rPr>
          <w:rFonts w:cs="Arial"/>
          <w:b/>
          <w:sz w:val="24"/>
          <w:szCs w:val="24"/>
        </w:rPr>
        <w:t>Figure</w:t>
      </w:r>
      <w:r w:rsidRPr="00F86761">
        <w:rPr>
          <w:rFonts w:cs="Arial"/>
          <w:b/>
          <w:sz w:val="24"/>
          <w:szCs w:val="24"/>
        </w:rPr>
        <w:t xml:space="preserve"> 3.</w:t>
      </w:r>
      <w:r>
        <w:rPr>
          <w:rFonts w:cs="Arial"/>
          <w:b/>
          <w:sz w:val="24"/>
          <w:szCs w:val="24"/>
        </w:rPr>
        <w:t>2</w:t>
      </w:r>
      <w:r w:rsidR="009073AE">
        <w:rPr>
          <w:rFonts w:cs="Arial"/>
          <w:b/>
          <w:sz w:val="24"/>
          <w:szCs w:val="24"/>
        </w:rPr>
        <w:t>4</w:t>
      </w:r>
      <w:r w:rsidRPr="0050155A">
        <w:rPr>
          <w:rFonts w:cs="Arial"/>
          <w:b/>
          <w:sz w:val="24"/>
          <w:szCs w:val="24"/>
        </w:rPr>
        <w:t>:</w:t>
      </w:r>
      <w:r>
        <w:rPr>
          <w:rFonts w:cs="Arial"/>
          <w:b/>
          <w:sz w:val="24"/>
          <w:szCs w:val="24"/>
        </w:rPr>
        <w:t xml:space="preserve"> </w:t>
      </w:r>
      <w:r w:rsidRPr="00CC65B1">
        <w:rPr>
          <w:rFonts w:cstheme="majorHAnsi"/>
          <w:b/>
          <w:sz w:val="24"/>
          <w:szCs w:val="24"/>
        </w:rPr>
        <w:t>Hearing Impairment Referral - 0-5 years old</w:t>
      </w:r>
    </w:p>
    <w:p w14:paraId="1DC57391" w14:textId="77777777" w:rsidR="00003903" w:rsidRDefault="00003903" w:rsidP="00003903">
      <w:pPr>
        <w:rPr>
          <w:rFonts w:cstheme="majorHAnsi"/>
          <w:sz w:val="24"/>
          <w:szCs w:val="24"/>
        </w:rPr>
      </w:pPr>
      <w:r>
        <w:rPr>
          <w:noProof/>
        </w:rPr>
        <w:drawing>
          <wp:inline distT="0" distB="0" distL="0" distR="0" wp14:anchorId="1D55E81F" wp14:editId="4E285026">
            <wp:extent cx="5676900" cy="2933700"/>
            <wp:effectExtent l="0" t="0" r="0" b="0"/>
            <wp:docPr id="62" name="Chart 62">
              <a:extLst xmlns:a="http://schemas.openxmlformats.org/drawingml/2006/main">
                <a:ext uri="{FF2B5EF4-FFF2-40B4-BE49-F238E27FC236}">
                  <a16:creationId xmlns:a16="http://schemas.microsoft.com/office/drawing/2014/main" id="{85908BC4-88BC-4F4E-8F8C-E3679CBED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AEF33A7" w14:textId="77777777" w:rsidR="00003903" w:rsidRPr="00CC65B1" w:rsidRDefault="00003903" w:rsidP="00003903">
      <w:pPr>
        <w:rPr>
          <w:rFonts w:cstheme="majorHAnsi"/>
          <w:sz w:val="24"/>
          <w:szCs w:val="24"/>
        </w:rPr>
      </w:pPr>
      <w:r w:rsidRPr="00CC65B1">
        <w:rPr>
          <w:rFonts w:cstheme="majorHAnsi"/>
          <w:sz w:val="24"/>
          <w:szCs w:val="24"/>
        </w:rPr>
        <w:t>Source: SMBC Inclusion Support – Sensory Team</w:t>
      </w:r>
    </w:p>
    <w:p w14:paraId="059D6D6E" w14:textId="77777777" w:rsidR="00003903" w:rsidRDefault="00003903" w:rsidP="00003903">
      <w:pPr>
        <w:rPr>
          <w:rFonts w:cstheme="majorHAnsi"/>
          <w:sz w:val="24"/>
          <w:szCs w:val="24"/>
        </w:rPr>
      </w:pPr>
    </w:p>
    <w:p w14:paraId="037BCDB0" w14:textId="77777777" w:rsidR="00003903" w:rsidRPr="00746C05" w:rsidRDefault="00003903" w:rsidP="00003903">
      <w:pPr>
        <w:rPr>
          <w:rFonts w:cstheme="minorHAnsi"/>
          <w:sz w:val="24"/>
          <w:szCs w:val="24"/>
        </w:rPr>
      </w:pPr>
      <w:r w:rsidRPr="00746C05">
        <w:rPr>
          <w:rFonts w:cstheme="minorHAnsi"/>
          <w:sz w:val="24"/>
          <w:szCs w:val="24"/>
        </w:rPr>
        <w:t>Over the past five years there has been a change in the age groups being referred for hearing impairment.  Figure 3.24 below shows that hearing impairment services previously had a high proportion of children under the age of 1 year old.  More recently, there are more children aged 3-5 years old.</w:t>
      </w:r>
    </w:p>
    <w:p w14:paraId="3F8E794F" w14:textId="2EA2B185" w:rsidR="00003903" w:rsidRPr="00BF39A6" w:rsidRDefault="00003903" w:rsidP="00003903">
      <w:pPr>
        <w:rPr>
          <w:rFonts w:cs="Arial"/>
          <w:b/>
        </w:rPr>
      </w:pPr>
      <w:r>
        <w:rPr>
          <w:rFonts w:cs="Arial"/>
          <w:b/>
          <w:sz w:val="24"/>
          <w:szCs w:val="24"/>
        </w:rPr>
        <w:t>Figure</w:t>
      </w:r>
      <w:r w:rsidRPr="00F86761">
        <w:rPr>
          <w:rFonts w:cs="Arial"/>
          <w:b/>
          <w:sz w:val="24"/>
          <w:szCs w:val="24"/>
        </w:rPr>
        <w:t xml:space="preserve"> 3.</w:t>
      </w:r>
      <w:r>
        <w:rPr>
          <w:rFonts w:cs="Arial"/>
          <w:b/>
          <w:sz w:val="24"/>
          <w:szCs w:val="24"/>
        </w:rPr>
        <w:t>2</w:t>
      </w:r>
      <w:r w:rsidR="009073AE">
        <w:rPr>
          <w:rFonts w:cs="Arial"/>
          <w:b/>
          <w:sz w:val="24"/>
          <w:szCs w:val="24"/>
        </w:rPr>
        <w:t>5</w:t>
      </w:r>
      <w:r w:rsidRPr="0050155A">
        <w:rPr>
          <w:rFonts w:cs="Arial"/>
          <w:b/>
          <w:sz w:val="24"/>
          <w:szCs w:val="24"/>
        </w:rPr>
        <w:t>:</w:t>
      </w:r>
      <w:r>
        <w:rPr>
          <w:rFonts w:cs="Arial"/>
          <w:b/>
          <w:sz w:val="24"/>
          <w:szCs w:val="24"/>
        </w:rPr>
        <w:t xml:space="preserve"> </w:t>
      </w:r>
      <w:r w:rsidRPr="00BF39A6">
        <w:rPr>
          <w:rFonts w:cs="Arial"/>
          <w:b/>
          <w:sz w:val="24"/>
          <w:szCs w:val="24"/>
          <w:lang w:val="en-US"/>
        </w:rPr>
        <w:t>Age at referral Inclusion Support Services - Vision Impairment services</w:t>
      </w:r>
    </w:p>
    <w:p w14:paraId="57D09128" w14:textId="77777777" w:rsidR="00003903" w:rsidRDefault="00003903" w:rsidP="00003903">
      <w:pPr>
        <w:rPr>
          <w:rFonts w:cstheme="majorHAnsi"/>
          <w:sz w:val="24"/>
          <w:szCs w:val="24"/>
        </w:rPr>
      </w:pPr>
      <w:r>
        <w:rPr>
          <w:noProof/>
        </w:rPr>
        <w:drawing>
          <wp:inline distT="0" distB="0" distL="0" distR="0" wp14:anchorId="11C27301" wp14:editId="7B97B138">
            <wp:extent cx="5289550" cy="2825750"/>
            <wp:effectExtent l="0" t="0" r="6350" b="12700"/>
            <wp:docPr id="63" name="Chart 63">
              <a:extLst xmlns:a="http://schemas.openxmlformats.org/drawingml/2006/main">
                <a:ext uri="{FF2B5EF4-FFF2-40B4-BE49-F238E27FC236}">
                  <a16:creationId xmlns:a16="http://schemas.microsoft.com/office/drawing/2014/main" id="{5CA74EF1-E337-4EE5-A760-E999197A6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75D93FA" w14:textId="77777777" w:rsidR="00003903" w:rsidRPr="00BF39A6" w:rsidRDefault="00003903" w:rsidP="00003903">
      <w:pPr>
        <w:rPr>
          <w:rFonts w:cstheme="majorHAnsi"/>
          <w:sz w:val="24"/>
          <w:szCs w:val="24"/>
        </w:rPr>
      </w:pPr>
      <w:r w:rsidRPr="00BF39A6">
        <w:rPr>
          <w:rFonts w:cstheme="majorHAnsi"/>
          <w:sz w:val="24"/>
          <w:szCs w:val="24"/>
        </w:rPr>
        <w:t>Source: SMBC Inclusion Support – Sensory Team</w:t>
      </w:r>
    </w:p>
    <w:p w14:paraId="5C02E5F7" w14:textId="77777777" w:rsidR="00003903" w:rsidRPr="00746C05" w:rsidRDefault="00003903" w:rsidP="00003903">
      <w:pPr>
        <w:rPr>
          <w:rFonts w:cstheme="minorHAnsi"/>
        </w:rPr>
      </w:pPr>
      <w:r w:rsidRPr="00746C05">
        <w:rPr>
          <w:rFonts w:cstheme="minorHAnsi"/>
          <w:sz w:val="24"/>
          <w:szCs w:val="24"/>
        </w:rPr>
        <w:t>Similar to referrals for vision impairments, 33% of the children aged 0-5 referred for hearing impairment are from a White British ethnic background, this is followed by Indian, Pakistani, and Other White ethnicity</w:t>
      </w:r>
      <w:r>
        <w:rPr>
          <w:rFonts w:cstheme="minorHAnsi"/>
          <w:sz w:val="24"/>
          <w:szCs w:val="24"/>
        </w:rPr>
        <w:t>.</w:t>
      </w:r>
    </w:p>
    <w:p w14:paraId="763D1037" w14:textId="77777777" w:rsidR="00003903" w:rsidRPr="00746C05" w:rsidRDefault="00003903" w:rsidP="00003903">
      <w:pPr>
        <w:rPr>
          <w:rFonts w:cstheme="minorHAnsi"/>
          <w:sz w:val="24"/>
          <w:szCs w:val="24"/>
        </w:rPr>
      </w:pPr>
    </w:p>
    <w:p w14:paraId="1FA405DE" w14:textId="77777777" w:rsidR="00003903" w:rsidRPr="00746C05" w:rsidRDefault="00003903" w:rsidP="00003903">
      <w:pPr>
        <w:rPr>
          <w:rFonts w:cstheme="minorHAnsi"/>
          <w:sz w:val="24"/>
          <w:szCs w:val="24"/>
        </w:rPr>
      </w:pPr>
      <w:r w:rsidRPr="00746C05">
        <w:rPr>
          <w:rFonts w:cstheme="minorHAnsi"/>
          <w:sz w:val="24"/>
          <w:szCs w:val="24"/>
        </w:rPr>
        <w:t>Although data is collected on child’s town of residence, due to small numbers the full analysis is not provided here for each town.  2018</w:t>
      </w:r>
      <w:r>
        <w:rPr>
          <w:rFonts w:cstheme="minorHAnsi"/>
          <w:sz w:val="24"/>
          <w:szCs w:val="24"/>
        </w:rPr>
        <w:t>-</w:t>
      </w:r>
      <w:r w:rsidRPr="00746C05">
        <w:rPr>
          <w:rFonts w:cstheme="minorHAnsi"/>
          <w:sz w:val="24"/>
          <w:szCs w:val="24"/>
        </w:rPr>
        <w:t>2019 shows Smethwick as having the highest rate at 2.5 per 1,000 children, followed by Oldbury at 2.4 per 1,000 children aged 0-5.  This is higher than the overall rate for Sandwell at 2.1 per 1000 children.</w:t>
      </w:r>
    </w:p>
    <w:p w14:paraId="7281E119" w14:textId="77777777" w:rsidR="00003903" w:rsidRPr="00746C05" w:rsidRDefault="00003903" w:rsidP="00003903">
      <w:pPr>
        <w:rPr>
          <w:rFonts w:cstheme="minorHAnsi"/>
        </w:rPr>
      </w:pPr>
    </w:p>
    <w:p w14:paraId="7BA578E9" w14:textId="3962C0DF" w:rsidR="00003903" w:rsidRDefault="00003903" w:rsidP="00003903">
      <w:pPr>
        <w:rPr>
          <w:rFonts w:cstheme="minorHAnsi"/>
          <w:sz w:val="24"/>
          <w:szCs w:val="24"/>
        </w:rPr>
      </w:pPr>
      <w:r w:rsidRPr="00746C05">
        <w:rPr>
          <w:rFonts w:cstheme="minorHAnsi"/>
          <w:sz w:val="24"/>
          <w:szCs w:val="24"/>
        </w:rPr>
        <w:t xml:space="preserve">Figure </w:t>
      </w:r>
      <w:r>
        <w:rPr>
          <w:rFonts w:cstheme="minorHAnsi"/>
          <w:sz w:val="24"/>
          <w:szCs w:val="24"/>
        </w:rPr>
        <w:t>3.2</w:t>
      </w:r>
      <w:r w:rsidR="009073AE">
        <w:rPr>
          <w:rFonts w:cstheme="minorHAnsi"/>
          <w:sz w:val="24"/>
          <w:szCs w:val="24"/>
        </w:rPr>
        <w:t>6</w:t>
      </w:r>
      <w:r>
        <w:rPr>
          <w:rFonts w:cstheme="minorHAnsi"/>
          <w:sz w:val="24"/>
          <w:szCs w:val="24"/>
        </w:rPr>
        <w:t xml:space="preserve"> </w:t>
      </w:r>
      <w:r w:rsidRPr="00746C05">
        <w:rPr>
          <w:rFonts w:cstheme="minorHAnsi"/>
          <w:sz w:val="24"/>
          <w:szCs w:val="24"/>
        </w:rPr>
        <w:t xml:space="preserve">below, shows that most referrals are made by through health services. This is followed by referrals from </w:t>
      </w:r>
      <w:r>
        <w:rPr>
          <w:rFonts w:cstheme="minorHAnsi"/>
          <w:sz w:val="24"/>
          <w:szCs w:val="24"/>
        </w:rPr>
        <w:t xml:space="preserve">the </w:t>
      </w:r>
      <w:r w:rsidRPr="00746C05">
        <w:rPr>
          <w:rFonts w:cstheme="minorHAnsi"/>
          <w:sz w:val="24"/>
          <w:szCs w:val="24"/>
        </w:rPr>
        <w:t>N</w:t>
      </w:r>
      <w:r>
        <w:rPr>
          <w:rFonts w:cstheme="minorHAnsi"/>
          <w:sz w:val="24"/>
          <w:szCs w:val="24"/>
        </w:rPr>
        <w:t xml:space="preserve">ewborn </w:t>
      </w:r>
      <w:r w:rsidRPr="00746C05">
        <w:rPr>
          <w:rFonts w:cstheme="minorHAnsi"/>
          <w:sz w:val="24"/>
          <w:szCs w:val="24"/>
        </w:rPr>
        <w:t>H</w:t>
      </w:r>
      <w:r>
        <w:rPr>
          <w:rFonts w:cstheme="minorHAnsi"/>
          <w:sz w:val="24"/>
          <w:szCs w:val="24"/>
        </w:rPr>
        <w:t xml:space="preserve">earing </w:t>
      </w:r>
      <w:r w:rsidRPr="00746C05">
        <w:rPr>
          <w:rFonts w:cstheme="minorHAnsi"/>
          <w:sz w:val="24"/>
          <w:szCs w:val="24"/>
        </w:rPr>
        <w:t>S</w:t>
      </w:r>
      <w:r>
        <w:rPr>
          <w:rFonts w:cstheme="minorHAnsi"/>
          <w:sz w:val="24"/>
          <w:szCs w:val="24"/>
        </w:rPr>
        <w:t xml:space="preserve">creening </w:t>
      </w:r>
      <w:r w:rsidRPr="00746C05">
        <w:rPr>
          <w:rFonts w:cstheme="minorHAnsi"/>
          <w:sz w:val="24"/>
          <w:szCs w:val="24"/>
        </w:rPr>
        <w:t>P</w:t>
      </w:r>
      <w:r>
        <w:rPr>
          <w:rFonts w:cstheme="minorHAnsi"/>
          <w:sz w:val="24"/>
          <w:szCs w:val="24"/>
        </w:rPr>
        <w:t>rogramme.</w:t>
      </w:r>
    </w:p>
    <w:p w14:paraId="161C742A" w14:textId="5663D957" w:rsidR="00003903" w:rsidRPr="00746C05" w:rsidRDefault="00003903" w:rsidP="00003903">
      <w:pPr>
        <w:rPr>
          <w:rFonts w:cs="Arial"/>
          <w:b/>
        </w:rPr>
      </w:pPr>
      <w:r>
        <w:rPr>
          <w:rFonts w:cs="Arial"/>
          <w:b/>
          <w:sz w:val="24"/>
          <w:szCs w:val="24"/>
        </w:rPr>
        <w:br/>
        <w:t>Figure</w:t>
      </w:r>
      <w:r w:rsidRPr="00F86761">
        <w:rPr>
          <w:rFonts w:cs="Arial"/>
          <w:b/>
          <w:sz w:val="24"/>
          <w:szCs w:val="24"/>
        </w:rPr>
        <w:t xml:space="preserve"> 3.</w:t>
      </w:r>
      <w:r>
        <w:rPr>
          <w:rFonts w:cs="Arial"/>
          <w:b/>
          <w:sz w:val="24"/>
          <w:szCs w:val="24"/>
        </w:rPr>
        <w:t>2</w:t>
      </w:r>
      <w:r w:rsidR="009073AE">
        <w:rPr>
          <w:rFonts w:cs="Arial"/>
          <w:b/>
          <w:sz w:val="24"/>
          <w:szCs w:val="24"/>
        </w:rPr>
        <w:t>6</w:t>
      </w:r>
      <w:r w:rsidRPr="0050155A">
        <w:rPr>
          <w:rFonts w:cs="Arial"/>
          <w:b/>
          <w:sz w:val="24"/>
          <w:szCs w:val="24"/>
        </w:rPr>
        <w:t>:</w:t>
      </w:r>
      <w:r>
        <w:rPr>
          <w:rFonts w:cs="Arial"/>
          <w:b/>
          <w:sz w:val="24"/>
          <w:szCs w:val="24"/>
        </w:rPr>
        <w:t xml:space="preserve"> </w:t>
      </w:r>
      <w:r w:rsidRPr="00746C05">
        <w:rPr>
          <w:rFonts w:cs="Arial"/>
          <w:b/>
          <w:sz w:val="24"/>
          <w:szCs w:val="24"/>
        </w:rPr>
        <w:t>Hearing Impairment - Child Referral Point</w:t>
      </w:r>
      <w:r w:rsidRPr="00746C05">
        <w:rPr>
          <w:rFonts w:cs="Arial"/>
          <w:b/>
        </w:rPr>
        <w:t xml:space="preserve"> </w:t>
      </w:r>
    </w:p>
    <w:p w14:paraId="5CA129ED" w14:textId="77777777" w:rsidR="00003903" w:rsidRDefault="00003903" w:rsidP="00003903">
      <w:pPr>
        <w:rPr>
          <w:rFonts w:cstheme="minorHAnsi"/>
        </w:rPr>
      </w:pPr>
      <w:r>
        <w:rPr>
          <w:noProof/>
        </w:rPr>
        <w:drawing>
          <wp:inline distT="0" distB="0" distL="0" distR="0" wp14:anchorId="280B0277" wp14:editId="0576B55F">
            <wp:extent cx="5327650" cy="3060700"/>
            <wp:effectExtent l="0" t="0" r="6350" b="6350"/>
            <wp:docPr id="192" name="Chart 192">
              <a:extLst xmlns:a="http://schemas.openxmlformats.org/drawingml/2006/main">
                <a:ext uri="{FF2B5EF4-FFF2-40B4-BE49-F238E27FC236}">
                  <a16:creationId xmlns:a16="http://schemas.microsoft.com/office/drawing/2014/main" id="{3E30ABCE-C031-4867-9417-29B7C5545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DD24B8E" w14:textId="77777777" w:rsidR="00003903" w:rsidRDefault="00003903" w:rsidP="00003903">
      <w:pPr>
        <w:rPr>
          <w:rFonts w:cstheme="minorHAnsi"/>
        </w:rPr>
      </w:pPr>
      <w:r w:rsidRPr="00BF39A6">
        <w:rPr>
          <w:rFonts w:cstheme="majorHAnsi"/>
          <w:sz w:val="24"/>
          <w:szCs w:val="24"/>
        </w:rPr>
        <w:t>Source: SMBC Inclusion Support – Sensory Team</w:t>
      </w:r>
    </w:p>
    <w:p w14:paraId="77A953FC" w14:textId="77777777" w:rsidR="00003903" w:rsidRDefault="00003903" w:rsidP="00003903">
      <w:pPr>
        <w:rPr>
          <w:rFonts w:cstheme="minorHAnsi"/>
        </w:rPr>
      </w:pPr>
      <w:r>
        <w:rPr>
          <w:rFonts w:cstheme="minorHAnsi"/>
        </w:rPr>
        <w:br/>
      </w:r>
    </w:p>
    <w:p w14:paraId="3607DCBD" w14:textId="77777777" w:rsidR="00003903" w:rsidRPr="00BD73D9" w:rsidRDefault="00003903" w:rsidP="005B1F6D">
      <w:pPr>
        <w:pStyle w:val="Heading2"/>
      </w:pPr>
      <w:r w:rsidRPr="00BD73D9">
        <w:t>Autism Spectrum Disorder</w:t>
      </w:r>
    </w:p>
    <w:p w14:paraId="66AC119B" w14:textId="77777777" w:rsidR="00003903" w:rsidRPr="00746C05" w:rsidRDefault="00003903" w:rsidP="00003903">
      <w:pPr>
        <w:rPr>
          <w:rFonts w:cstheme="minorHAnsi"/>
          <w:color w:val="333333"/>
          <w:sz w:val="24"/>
          <w:szCs w:val="24"/>
        </w:rPr>
      </w:pPr>
      <w:r w:rsidRPr="00746C05">
        <w:rPr>
          <w:rFonts w:cstheme="minorHAnsi"/>
          <w:color w:val="333333"/>
          <w:sz w:val="24"/>
          <w:szCs w:val="24"/>
        </w:rPr>
        <w:t xml:space="preserve">Children with </w:t>
      </w:r>
      <w:r w:rsidRPr="00746C05">
        <w:rPr>
          <w:rFonts w:cstheme="minorHAnsi"/>
          <w:sz w:val="24"/>
          <w:szCs w:val="24"/>
        </w:rPr>
        <w:t xml:space="preserve">Autism Spectrum Disorder (ASD) </w:t>
      </w:r>
      <w:r w:rsidRPr="00746C05">
        <w:rPr>
          <w:rFonts w:cstheme="minorHAnsi"/>
          <w:color w:val="333333"/>
          <w:sz w:val="24"/>
          <w:szCs w:val="24"/>
        </w:rPr>
        <w:t xml:space="preserve">have a combination of difficulties with verbal communication and interaction. Diagnosis is particularly difficult for children aged 0-5 due to the development stages that a child aged 0-5 would still </w:t>
      </w:r>
      <w:r>
        <w:rPr>
          <w:rFonts w:cstheme="minorHAnsi"/>
          <w:color w:val="333333"/>
          <w:sz w:val="24"/>
          <w:szCs w:val="24"/>
        </w:rPr>
        <w:t>be going through</w:t>
      </w:r>
      <w:r w:rsidRPr="00746C05">
        <w:rPr>
          <w:rFonts w:cstheme="minorHAnsi"/>
          <w:color w:val="333333"/>
          <w:sz w:val="24"/>
          <w:szCs w:val="24"/>
        </w:rPr>
        <w:t>.</w:t>
      </w:r>
    </w:p>
    <w:p w14:paraId="722C4411" w14:textId="061BC0AB" w:rsidR="00003903" w:rsidRDefault="00003903" w:rsidP="00003903">
      <w:pPr>
        <w:rPr>
          <w:rFonts w:cstheme="minorHAnsi"/>
          <w:color w:val="333333"/>
          <w:sz w:val="24"/>
          <w:szCs w:val="24"/>
        </w:rPr>
      </w:pPr>
      <w:r w:rsidRPr="00746C05">
        <w:rPr>
          <w:rFonts w:cstheme="minorHAnsi"/>
          <w:color w:val="333333"/>
          <w:sz w:val="24"/>
          <w:szCs w:val="24"/>
        </w:rPr>
        <w:t xml:space="preserve">In Sandwell, 1.9 children </w:t>
      </w:r>
      <w:r w:rsidR="0060525A">
        <w:rPr>
          <w:rFonts w:cstheme="minorHAnsi"/>
          <w:color w:val="333333"/>
          <w:sz w:val="24"/>
          <w:szCs w:val="24"/>
        </w:rPr>
        <w:t xml:space="preserve">per 1000 </w:t>
      </w:r>
      <w:r w:rsidRPr="00746C05">
        <w:rPr>
          <w:rFonts w:cstheme="minorHAnsi"/>
          <w:color w:val="333333"/>
          <w:sz w:val="24"/>
          <w:szCs w:val="24"/>
        </w:rPr>
        <w:t>aged 0-5 have a</w:t>
      </w:r>
      <w:r w:rsidR="00CA4A83">
        <w:rPr>
          <w:rFonts w:cstheme="minorHAnsi"/>
          <w:color w:val="333333"/>
          <w:sz w:val="24"/>
          <w:szCs w:val="24"/>
        </w:rPr>
        <w:t>n</w:t>
      </w:r>
      <w:r w:rsidRPr="00746C05">
        <w:rPr>
          <w:rFonts w:cstheme="minorHAnsi"/>
          <w:color w:val="333333"/>
          <w:sz w:val="24"/>
          <w:szCs w:val="24"/>
        </w:rPr>
        <w:t xml:space="preserve"> AS</w:t>
      </w:r>
      <w:r w:rsidR="0060525A">
        <w:rPr>
          <w:rFonts w:cstheme="minorHAnsi"/>
          <w:color w:val="333333"/>
          <w:sz w:val="24"/>
          <w:szCs w:val="24"/>
        </w:rPr>
        <w:t>D</w:t>
      </w:r>
      <w:r w:rsidRPr="00746C05">
        <w:rPr>
          <w:rFonts w:cstheme="minorHAnsi"/>
          <w:color w:val="333333"/>
          <w:sz w:val="24"/>
          <w:szCs w:val="24"/>
        </w:rPr>
        <w:t xml:space="preserve"> diagnosis.  The rate</w:t>
      </w:r>
      <w:r>
        <w:rPr>
          <w:rFonts w:cstheme="minorHAnsi"/>
          <w:color w:val="333333"/>
          <w:sz w:val="24"/>
          <w:szCs w:val="24"/>
        </w:rPr>
        <w:t xml:space="preserve"> has been increasing since 2016/</w:t>
      </w:r>
      <w:r w:rsidRPr="00746C05">
        <w:rPr>
          <w:rFonts w:cstheme="minorHAnsi"/>
          <w:color w:val="333333"/>
          <w:sz w:val="24"/>
          <w:szCs w:val="24"/>
        </w:rPr>
        <w:t>17.</w:t>
      </w:r>
    </w:p>
    <w:p w14:paraId="273C3B6F" w14:textId="77777777" w:rsidR="00003903" w:rsidRDefault="00003903" w:rsidP="00003903">
      <w:pPr>
        <w:rPr>
          <w:rFonts w:cstheme="minorHAnsi"/>
          <w:color w:val="333333"/>
          <w:sz w:val="24"/>
          <w:szCs w:val="24"/>
        </w:rPr>
      </w:pPr>
    </w:p>
    <w:p w14:paraId="4CC0E385" w14:textId="3A473564" w:rsidR="00003903" w:rsidRPr="00746C05" w:rsidRDefault="00003903" w:rsidP="00003903">
      <w:pPr>
        <w:rPr>
          <w:rFonts w:cstheme="minorHAnsi"/>
          <w:color w:val="333333"/>
          <w:sz w:val="24"/>
          <w:szCs w:val="24"/>
        </w:rPr>
      </w:pPr>
      <w:r w:rsidRPr="00746C05">
        <w:rPr>
          <w:rFonts w:cs="Arial"/>
          <w:b/>
          <w:sz w:val="24"/>
          <w:szCs w:val="24"/>
        </w:rPr>
        <w:t xml:space="preserve"> </w:t>
      </w:r>
      <w:r>
        <w:rPr>
          <w:rFonts w:cs="Arial"/>
          <w:b/>
          <w:sz w:val="24"/>
          <w:szCs w:val="24"/>
        </w:rPr>
        <w:t>Figure</w:t>
      </w:r>
      <w:r w:rsidRPr="00F86761">
        <w:rPr>
          <w:rFonts w:cs="Arial"/>
          <w:b/>
          <w:sz w:val="24"/>
          <w:szCs w:val="24"/>
        </w:rPr>
        <w:t xml:space="preserve"> 3.</w:t>
      </w:r>
      <w:r>
        <w:rPr>
          <w:rFonts w:cs="Arial"/>
          <w:b/>
          <w:sz w:val="24"/>
          <w:szCs w:val="24"/>
        </w:rPr>
        <w:t>2</w:t>
      </w:r>
      <w:r w:rsidR="009073AE">
        <w:rPr>
          <w:rFonts w:cs="Arial"/>
          <w:b/>
          <w:sz w:val="24"/>
          <w:szCs w:val="24"/>
        </w:rPr>
        <w:t>7</w:t>
      </w:r>
      <w:r w:rsidRPr="0050155A">
        <w:rPr>
          <w:rFonts w:cs="Arial"/>
          <w:b/>
          <w:sz w:val="24"/>
          <w:szCs w:val="24"/>
        </w:rPr>
        <w:t>:</w:t>
      </w:r>
      <w:r>
        <w:rPr>
          <w:rFonts w:cs="Arial"/>
          <w:b/>
          <w:sz w:val="24"/>
          <w:szCs w:val="24"/>
        </w:rPr>
        <w:t xml:space="preserve"> </w:t>
      </w:r>
      <w:r w:rsidRPr="00746C05">
        <w:rPr>
          <w:rFonts w:cs="Arial"/>
          <w:b/>
          <w:sz w:val="24"/>
          <w:szCs w:val="24"/>
        </w:rPr>
        <w:t>Sandwell Autism Spectrum Disorder Prevalence</w:t>
      </w:r>
      <w:r>
        <w:rPr>
          <w:rFonts w:cs="Arial"/>
          <w:b/>
          <w:sz w:val="24"/>
          <w:szCs w:val="24"/>
        </w:rPr>
        <w:t xml:space="preserve"> (</w:t>
      </w:r>
      <w:r w:rsidRPr="00746C05">
        <w:rPr>
          <w:rFonts w:cs="Arial"/>
          <w:b/>
          <w:sz w:val="24"/>
          <w:szCs w:val="24"/>
        </w:rPr>
        <w:t xml:space="preserve">0-5 </w:t>
      </w:r>
      <w:r>
        <w:rPr>
          <w:rFonts w:cs="Arial"/>
          <w:b/>
          <w:sz w:val="24"/>
          <w:szCs w:val="24"/>
        </w:rPr>
        <w:t>y</w:t>
      </w:r>
      <w:r w:rsidRPr="00746C05">
        <w:rPr>
          <w:rFonts w:cs="Arial"/>
          <w:b/>
          <w:sz w:val="24"/>
          <w:szCs w:val="24"/>
        </w:rPr>
        <w:t xml:space="preserve">ear </w:t>
      </w:r>
      <w:r>
        <w:rPr>
          <w:rFonts w:cs="Arial"/>
          <w:b/>
          <w:sz w:val="24"/>
          <w:szCs w:val="24"/>
        </w:rPr>
        <w:t>o</w:t>
      </w:r>
      <w:r w:rsidRPr="00746C05">
        <w:rPr>
          <w:rFonts w:cs="Arial"/>
          <w:b/>
          <w:sz w:val="24"/>
          <w:szCs w:val="24"/>
        </w:rPr>
        <w:t>lds</w:t>
      </w:r>
      <w:r>
        <w:rPr>
          <w:rFonts w:cs="Arial"/>
          <w:b/>
          <w:sz w:val="24"/>
          <w:szCs w:val="24"/>
        </w:rPr>
        <w:t>)</w:t>
      </w:r>
    </w:p>
    <w:p w14:paraId="1EE54920" w14:textId="77777777" w:rsidR="00003903" w:rsidRDefault="00003903" w:rsidP="00003903">
      <w:pPr>
        <w:rPr>
          <w:rFonts w:cstheme="minorHAnsi"/>
          <w:sz w:val="32"/>
          <w:szCs w:val="32"/>
        </w:rPr>
      </w:pPr>
      <w:r>
        <w:rPr>
          <w:noProof/>
        </w:rPr>
        <w:drawing>
          <wp:inline distT="0" distB="0" distL="0" distR="0" wp14:anchorId="0E7C552F" wp14:editId="3618B316">
            <wp:extent cx="5588000" cy="2971800"/>
            <wp:effectExtent l="0" t="0" r="12700" b="0"/>
            <wp:docPr id="193" name="Chart 193">
              <a:extLst xmlns:a="http://schemas.openxmlformats.org/drawingml/2006/main">
                <a:ext uri="{FF2B5EF4-FFF2-40B4-BE49-F238E27FC236}">
                  <a16:creationId xmlns:a16="http://schemas.microsoft.com/office/drawing/2014/main" id="{9A41DD24-6555-4D77-A2E3-2912BB3A2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D330200" w14:textId="77777777" w:rsidR="00003903" w:rsidRPr="00746C05" w:rsidRDefault="00003903" w:rsidP="00003903">
      <w:pPr>
        <w:rPr>
          <w:rFonts w:cstheme="minorHAnsi"/>
          <w:sz w:val="24"/>
          <w:szCs w:val="24"/>
        </w:rPr>
      </w:pPr>
      <w:r w:rsidRPr="00746C05">
        <w:rPr>
          <w:rFonts w:cstheme="minorHAnsi"/>
          <w:sz w:val="24"/>
          <w:szCs w:val="24"/>
        </w:rPr>
        <w:t>Source: SMBC Inclusion Support: Complex Communication and Autism</w:t>
      </w:r>
    </w:p>
    <w:p w14:paraId="08E0AEBE" w14:textId="77777777" w:rsidR="00003903" w:rsidRDefault="00003903" w:rsidP="00003903">
      <w:pPr>
        <w:rPr>
          <w:rFonts w:cstheme="minorHAnsi"/>
          <w:sz w:val="24"/>
          <w:szCs w:val="24"/>
        </w:rPr>
      </w:pPr>
    </w:p>
    <w:p w14:paraId="2E9C625A" w14:textId="77777777" w:rsidR="00003903" w:rsidRDefault="00003903" w:rsidP="00003903">
      <w:pPr>
        <w:rPr>
          <w:rFonts w:cstheme="minorHAnsi"/>
          <w:sz w:val="24"/>
          <w:szCs w:val="24"/>
        </w:rPr>
      </w:pPr>
      <w:r w:rsidRPr="002C1D58">
        <w:rPr>
          <w:rFonts w:cstheme="minorHAnsi"/>
          <w:sz w:val="24"/>
          <w:szCs w:val="24"/>
        </w:rPr>
        <w:t>Boys in Sandwell have a higher rate of diagnosis. The rate is substantially higher than the rate for girls.  In 2018-19, 3.0 boys were diagnosed with ASD in every 1,000 boys aged 0-5.  In comparison the rate for girls is much lower at 0.6.</w:t>
      </w:r>
    </w:p>
    <w:p w14:paraId="4075DA6E" w14:textId="77777777" w:rsidR="00003903" w:rsidRPr="002C1D58" w:rsidRDefault="00003903" w:rsidP="00003903">
      <w:pPr>
        <w:rPr>
          <w:rFonts w:cstheme="minorHAnsi"/>
          <w:sz w:val="24"/>
          <w:szCs w:val="24"/>
        </w:rPr>
      </w:pPr>
      <w:r>
        <w:rPr>
          <w:rFonts w:cstheme="minorHAnsi"/>
          <w:sz w:val="24"/>
          <w:szCs w:val="24"/>
        </w:rPr>
        <w:t>In comparison to the previous year; 2017-18, the rate for boys has increased from 1.7 to 3.0.</w:t>
      </w:r>
    </w:p>
    <w:p w14:paraId="04498F99" w14:textId="77777777" w:rsidR="00003903" w:rsidRDefault="00003903" w:rsidP="00003903">
      <w:pPr>
        <w:rPr>
          <w:rFonts w:cs="Arial"/>
          <w:b/>
          <w:sz w:val="24"/>
          <w:szCs w:val="24"/>
        </w:rPr>
      </w:pPr>
    </w:p>
    <w:p w14:paraId="151687B3" w14:textId="1407BFE8" w:rsidR="00003903" w:rsidRPr="00746C05" w:rsidRDefault="00003903" w:rsidP="00003903">
      <w:pPr>
        <w:rPr>
          <w:rFonts w:cs="Arial"/>
          <w:b/>
          <w:sz w:val="24"/>
          <w:szCs w:val="24"/>
        </w:rPr>
      </w:pPr>
      <w:r>
        <w:rPr>
          <w:rFonts w:cs="Arial"/>
          <w:b/>
          <w:sz w:val="24"/>
          <w:szCs w:val="24"/>
        </w:rPr>
        <w:t>Figure</w:t>
      </w:r>
      <w:r w:rsidRPr="00F86761">
        <w:rPr>
          <w:rFonts w:cs="Arial"/>
          <w:b/>
          <w:sz w:val="24"/>
          <w:szCs w:val="24"/>
        </w:rPr>
        <w:t xml:space="preserve"> 3.</w:t>
      </w:r>
      <w:r>
        <w:rPr>
          <w:rFonts w:cs="Arial"/>
          <w:b/>
          <w:sz w:val="24"/>
          <w:szCs w:val="24"/>
        </w:rPr>
        <w:t>2</w:t>
      </w:r>
      <w:r w:rsidR="009073AE">
        <w:rPr>
          <w:rFonts w:cs="Arial"/>
          <w:b/>
          <w:sz w:val="24"/>
          <w:szCs w:val="24"/>
        </w:rPr>
        <w:t>8</w:t>
      </w:r>
      <w:r w:rsidRPr="0050155A">
        <w:rPr>
          <w:rFonts w:cs="Arial"/>
          <w:b/>
          <w:sz w:val="24"/>
          <w:szCs w:val="24"/>
        </w:rPr>
        <w:t>:</w:t>
      </w:r>
      <w:r>
        <w:rPr>
          <w:rFonts w:cs="Arial"/>
          <w:b/>
          <w:sz w:val="24"/>
          <w:szCs w:val="24"/>
        </w:rPr>
        <w:t xml:space="preserve"> </w:t>
      </w:r>
      <w:r w:rsidRPr="00746C05">
        <w:rPr>
          <w:rFonts w:cs="Arial"/>
          <w:b/>
          <w:sz w:val="24"/>
          <w:szCs w:val="24"/>
        </w:rPr>
        <w:t>Sandwell</w:t>
      </w:r>
      <w:r w:rsidRPr="00746C05">
        <w:rPr>
          <w:rFonts w:hAnsi="Times New Roman"/>
          <w:color w:val="595959"/>
          <w:kern w:val="24"/>
          <w:sz w:val="24"/>
          <w:szCs w:val="24"/>
          <w:lang w:eastAsia="en-GB"/>
          <w14:textFill>
            <w14:solidFill>
              <w14:srgbClr w14:val="595959">
                <w14:lumMod w14:val="65000"/>
                <w14:lumOff w14:val="35000"/>
              </w14:srgbClr>
            </w14:solidFill>
          </w14:textFill>
        </w:rPr>
        <w:t xml:space="preserve"> </w:t>
      </w:r>
      <w:r w:rsidRPr="00746C05">
        <w:rPr>
          <w:rFonts w:cs="Arial"/>
          <w:b/>
          <w:sz w:val="24"/>
          <w:szCs w:val="24"/>
        </w:rPr>
        <w:t>Autism Spectrum Disorder</w:t>
      </w:r>
      <w:r>
        <w:rPr>
          <w:rFonts w:cs="Arial"/>
          <w:b/>
          <w:sz w:val="24"/>
          <w:szCs w:val="24"/>
        </w:rPr>
        <w:t xml:space="preserve"> </w:t>
      </w:r>
      <w:r w:rsidRPr="00746C05">
        <w:rPr>
          <w:rFonts w:cs="Arial"/>
          <w:b/>
          <w:sz w:val="24"/>
          <w:szCs w:val="24"/>
        </w:rPr>
        <w:t>Prev</w:t>
      </w:r>
      <w:r>
        <w:rPr>
          <w:rFonts w:cs="Arial"/>
          <w:b/>
          <w:sz w:val="24"/>
          <w:szCs w:val="24"/>
        </w:rPr>
        <w:t>a</w:t>
      </w:r>
      <w:r w:rsidRPr="00746C05">
        <w:rPr>
          <w:rFonts w:cs="Arial"/>
          <w:b/>
          <w:sz w:val="24"/>
          <w:szCs w:val="24"/>
        </w:rPr>
        <w:t xml:space="preserve">lence </w:t>
      </w:r>
      <w:r>
        <w:rPr>
          <w:rFonts w:cs="Arial"/>
          <w:b/>
          <w:sz w:val="24"/>
          <w:szCs w:val="24"/>
        </w:rPr>
        <w:t>b</w:t>
      </w:r>
      <w:r w:rsidRPr="00746C05">
        <w:rPr>
          <w:rFonts w:cs="Arial"/>
          <w:b/>
          <w:sz w:val="24"/>
          <w:szCs w:val="24"/>
        </w:rPr>
        <w:t>y Gender</w:t>
      </w:r>
      <w:r>
        <w:rPr>
          <w:rFonts w:cs="Arial"/>
          <w:b/>
          <w:sz w:val="24"/>
          <w:szCs w:val="24"/>
        </w:rPr>
        <w:t xml:space="preserve"> (</w:t>
      </w:r>
      <w:r w:rsidRPr="00746C05">
        <w:rPr>
          <w:rFonts w:cs="Arial"/>
          <w:b/>
          <w:sz w:val="24"/>
          <w:szCs w:val="24"/>
        </w:rPr>
        <w:t xml:space="preserve">0-5 </w:t>
      </w:r>
      <w:r>
        <w:rPr>
          <w:rFonts w:cs="Arial"/>
          <w:b/>
          <w:sz w:val="24"/>
          <w:szCs w:val="24"/>
        </w:rPr>
        <w:t>y</w:t>
      </w:r>
      <w:r w:rsidRPr="00746C05">
        <w:rPr>
          <w:rFonts w:cs="Arial"/>
          <w:b/>
          <w:sz w:val="24"/>
          <w:szCs w:val="24"/>
        </w:rPr>
        <w:t xml:space="preserve">ear </w:t>
      </w:r>
      <w:r>
        <w:rPr>
          <w:rFonts w:cs="Arial"/>
          <w:b/>
          <w:sz w:val="24"/>
          <w:szCs w:val="24"/>
        </w:rPr>
        <w:t>o</w:t>
      </w:r>
      <w:r w:rsidRPr="00746C05">
        <w:rPr>
          <w:rFonts w:cs="Arial"/>
          <w:b/>
          <w:sz w:val="24"/>
          <w:szCs w:val="24"/>
        </w:rPr>
        <w:t>lds</w:t>
      </w:r>
      <w:r>
        <w:rPr>
          <w:rFonts w:cs="Arial"/>
          <w:b/>
          <w:sz w:val="24"/>
          <w:szCs w:val="24"/>
        </w:rPr>
        <w:t>)</w:t>
      </w:r>
    </w:p>
    <w:p w14:paraId="1C608A76" w14:textId="77777777" w:rsidR="00003903" w:rsidRDefault="00003903" w:rsidP="00003903">
      <w:pPr>
        <w:rPr>
          <w:rFonts w:cstheme="minorHAnsi"/>
        </w:rPr>
      </w:pPr>
      <w:r>
        <w:rPr>
          <w:noProof/>
        </w:rPr>
        <w:drawing>
          <wp:inline distT="0" distB="0" distL="0" distR="0" wp14:anchorId="77D2D402" wp14:editId="6C9B27F5">
            <wp:extent cx="5568950" cy="3009900"/>
            <wp:effectExtent l="0" t="0" r="12700" b="0"/>
            <wp:docPr id="194" name="Chart 194">
              <a:extLst xmlns:a="http://schemas.openxmlformats.org/drawingml/2006/main">
                <a:ext uri="{FF2B5EF4-FFF2-40B4-BE49-F238E27FC236}">
                  <a16:creationId xmlns:a16="http://schemas.microsoft.com/office/drawing/2014/main" id="{D8081122-4530-4C64-B6BC-8BABDE9AE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EAC9FB1" w14:textId="77777777" w:rsidR="00003903" w:rsidRPr="00746C05" w:rsidRDefault="00003903" w:rsidP="00003903">
      <w:pPr>
        <w:rPr>
          <w:rFonts w:cstheme="minorHAnsi"/>
          <w:sz w:val="24"/>
          <w:szCs w:val="24"/>
        </w:rPr>
      </w:pPr>
      <w:r w:rsidRPr="00746C05">
        <w:rPr>
          <w:rFonts w:cstheme="minorHAnsi"/>
          <w:sz w:val="24"/>
          <w:szCs w:val="24"/>
        </w:rPr>
        <w:t>Source: SMBC Inclusion Support: Complex Communication and Autism</w:t>
      </w:r>
    </w:p>
    <w:p w14:paraId="7F77266F" w14:textId="3E05B071" w:rsidR="00003903" w:rsidRPr="009C33D3" w:rsidRDefault="00003903" w:rsidP="00003903">
      <w:pPr>
        <w:rPr>
          <w:rFonts w:cstheme="minorHAnsi"/>
          <w:sz w:val="24"/>
          <w:szCs w:val="24"/>
        </w:rPr>
      </w:pPr>
      <w:r w:rsidRPr="009C33D3">
        <w:rPr>
          <w:rFonts w:cstheme="minorHAnsi"/>
          <w:sz w:val="24"/>
          <w:szCs w:val="24"/>
        </w:rPr>
        <w:t>Figure 3.2</w:t>
      </w:r>
      <w:r w:rsidR="009073AE">
        <w:rPr>
          <w:rFonts w:cstheme="minorHAnsi"/>
          <w:sz w:val="24"/>
          <w:szCs w:val="24"/>
        </w:rPr>
        <w:t>9</w:t>
      </w:r>
      <w:r w:rsidRPr="009C33D3">
        <w:rPr>
          <w:rFonts w:cstheme="minorHAnsi"/>
          <w:sz w:val="24"/>
          <w:szCs w:val="24"/>
        </w:rPr>
        <w:t xml:space="preserve"> below show</w:t>
      </w:r>
      <w:r>
        <w:rPr>
          <w:rFonts w:cstheme="minorHAnsi"/>
          <w:sz w:val="24"/>
          <w:szCs w:val="24"/>
        </w:rPr>
        <w:t>s</w:t>
      </w:r>
      <w:r w:rsidRPr="009C33D3">
        <w:rPr>
          <w:rFonts w:cstheme="minorHAnsi"/>
          <w:sz w:val="24"/>
          <w:szCs w:val="24"/>
        </w:rPr>
        <w:t xml:space="preserve"> that Rowley Regis</w:t>
      </w:r>
      <w:r w:rsidRPr="009C33D3">
        <w:rPr>
          <w:rStyle w:val="FootnoteReference"/>
          <w:rFonts w:cstheme="minorHAnsi"/>
          <w:sz w:val="24"/>
          <w:szCs w:val="24"/>
        </w:rPr>
        <w:footnoteReference w:id="11"/>
      </w:r>
      <w:r w:rsidRPr="009C33D3">
        <w:rPr>
          <w:rFonts w:cstheme="minorHAnsi"/>
          <w:sz w:val="24"/>
          <w:szCs w:val="24"/>
        </w:rPr>
        <w:t xml:space="preserve"> had the highest rate of referrals at 3.2 diagnosis per 1000 children aged 0-5.  This is substantially higher than Sandwell’s overall rate.  The second highest rate is seen in Oldbury.</w:t>
      </w:r>
    </w:p>
    <w:p w14:paraId="190A6810" w14:textId="77777777" w:rsidR="00003903" w:rsidRDefault="00003903" w:rsidP="00003903">
      <w:pPr>
        <w:rPr>
          <w:rFonts w:cs="Arial"/>
          <w:b/>
          <w:sz w:val="24"/>
          <w:szCs w:val="24"/>
        </w:rPr>
      </w:pPr>
    </w:p>
    <w:p w14:paraId="3F46EB7B" w14:textId="44B8776A" w:rsidR="00003903" w:rsidRPr="009C33D3" w:rsidRDefault="00003903" w:rsidP="00003903">
      <w:pPr>
        <w:rPr>
          <w:rFonts w:cs="Arial"/>
          <w:b/>
          <w:sz w:val="24"/>
          <w:szCs w:val="24"/>
        </w:rPr>
      </w:pPr>
      <w:r w:rsidRPr="009C33D3">
        <w:rPr>
          <w:rFonts w:cs="Arial"/>
          <w:b/>
          <w:sz w:val="24"/>
          <w:szCs w:val="24"/>
        </w:rPr>
        <w:t>Figure 3.2</w:t>
      </w:r>
      <w:r w:rsidR="009073AE">
        <w:rPr>
          <w:rFonts w:cs="Arial"/>
          <w:b/>
          <w:sz w:val="24"/>
          <w:szCs w:val="24"/>
        </w:rPr>
        <w:t>9</w:t>
      </w:r>
      <w:r w:rsidRPr="009C33D3">
        <w:rPr>
          <w:rFonts w:cs="Arial"/>
          <w:b/>
          <w:sz w:val="24"/>
          <w:szCs w:val="24"/>
        </w:rPr>
        <w:t>: Sandwell Autism Spectrum Disorder Prevalence by Town</w:t>
      </w:r>
    </w:p>
    <w:p w14:paraId="1EC493F8" w14:textId="77777777" w:rsidR="00003903" w:rsidRDefault="00003903" w:rsidP="00003903">
      <w:pPr>
        <w:rPr>
          <w:rFonts w:cstheme="minorHAnsi"/>
        </w:rPr>
      </w:pPr>
      <w:r>
        <w:rPr>
          <w:noProof/>
        </w:rPr>
        <w:drawing>
          <wp:inline distT="0" distB="0" distL="0" distR="0" wp14:anchorId="4E73968E" wp14:editId="1758E176">
            <wp:extent cx="5524500" cy="3276600"/>
            <wp:effectExtent l="0" t="0" r="0" b="0"/>
            <wp:docPr id="195" name="Chart 195">
              <a:extLst xmlns:a="http://schemas.openxmlformats.org/drawingml/2006/main">
                <a:ext uri="{FF2B5EF4-FFF2-40B4-BE49-F238E27FC236}">
                  <a16:creationId xmlns:a16="http://schemas.microsoft.com/office/drawing/2014/main" id="{A8FE1E78-B313-49CB-AFCF-018438104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66D531A" w14:textId="77777777" w:rsidR="00003903" w:rsidRDefault="00003903" w:rsidP="00003903">
      <w:pPr>
        <w:rPr>
          <w:rFonts w:cstheme="minorHAnsi"/>
        </w:rPr>
      </w:pPr>
      <w:r w:rsidRPr="00746C05">
        <w:rPr>
          <w:rFonts w:cstheme="minorHAnsi"/>
          <w:sz w:val="24"/>
          <w:szCs w:val="24"/>
        </w:rPr>
        <w:t>Source: SMBC Inclusion Support: Complex Communication and Autism</w:t>
      </w:r>
    </w:p>
    <w:p w14:paraId="5B1A0D9F" w14:textId="77777777" w:rsidR="00003903" w:rsidRDefault="00003903" w:rsidP="00003903">
      <w:pPr>
        <w:rPr>
          <w:rFonts w:ascii="Arial" w:hAnsi="Arial" w:cs="Arial"/>
          <w:b/>
          <w:sz w:val="24"/>
        </w:rPr>
      </w:pPr>
    </w:p>
    <w:p w14:paraId="11896C4C" w14:textId="77777777" w:rsidR="00003903" w:rsidRPr="00880679" w:rsidRDefault="00003903" w:rsidP="005B1F6D">
      <w:pPr>
        <w:pStyle w:val="Heading2"/>
      </w:pPr>
      <w:r>
        <w:t>Children’s T</w:t>
      </w:r>
      <w:r w:rsidRPr="00880679">
        <w:t>herap</w:t>
      </w:r>
      <w:r>
        <w:t>y Service</w:t>
      </w:r>
      <w:r w:rsidRPr="00880679">
        <w:t xml:space="preserve"> </w:t>
      </w:r>
    </w:p>
    <w:p w14:paraId="600C69C9" w14:textId="77777777" w:rsidR="00003903" w:rsidRPr="00AA4F16" w:rsidRDefault="00003903" w:rsidP="00003903">
      <w:pPr>
        <w:rPr>
          <w:rFonts w:cstheme="minorHAnsi"/>
          <w:sz w:val="24"/>
          <w:szCs w:val="24"/>
        </w:rPr>
      </w:pPr>
      <w:r w:rsidRPr="00AA4F16">
        <w:rPr>
          <w:rFonts w:cstheme="minorHAnsi"/>
          <w:sz w:val="24"/>
          <w:szCs w:val="24"/>
        </w:rPr>
        <w:t>Speech and Language therapists work with children who may have difficulties with speech sounds, language, stammering, feeding difficulties or their voice. Physiotherapists work with children who may have difficulties with mobility, muscle weakness, balance, or development. Occupational therapists work with children and young people who have a physical disability that affects participation in everyday activities.  The difficulties may impact upon play, leisure and/or access to education.  Physical conditions that might affect the child include cerebral palsy and dyspraxia.</w:t>
      </w:r>
    </w:p>
    <w:p w14:paraId="57433D7A" w14:textId="77777777" w:rsidR="00003903" w:rsidRDefault="00003903" w:rsidP="00003903">
      <w:pPr>
        <w:rPr>
          <w:rFonts w:cs="Arial"/>
          <w:b/>
          <w:sz w:val="24"/>
          <w:szCs w:val="24"/>
        </w:rPr>
      </w:pPr>
    </w:p>
    <w:p w14:paraId="499A5C05" w14:textId="77777777" w:rsidR="00003903" w:rsidRDefault="00003903" w:rsidP="00003903">
      <w:pPr>
        <w:rPr>
          <w:rFonts w:cs="Arial"/>
          <w:sz w:val="24"/>
          <w:szCs w:val="24"/>
        </w:rPr>
      </w:pPr>
      <w:r w:rsidRPr="00173529">
        <w:rPr>
          <w:rFonts w:cs="Arial"/>
          <w:sz w:val="24"/>
          <w:szCs w:val="24"/>
        </w:rPr>
        <w:t xml:space="preserve">In 2018/19, there were </w:t>
      </w:r>
      <w:r>
        <w:rPr>
          <w:rFonts w:cs="Arial"/>
          <w:sz w:val="24"/>
          <w:szCs w:val="24"/>
        </w:rPr>
        <w:t>4</w:t>
      </w:r>
      <w:r w:rsidRPr="00173529">
        <w:rPr>
          <w:rFonts w:cs="Arial"/>
          <w:sz w:val="24"/>
          <w:szCs w:val="24"/>
        </w:rPr>
        <w:t>,</w:t>
      </w:r>
      <w:r>
        <w:rPr>
          <w:rFonts w:cs="Arial"/>
          <w:sz w:val="24"/>
          <w:szCs w:val="24"/>
        </w:rPr>
        <w:t>818 referrals to the Children’s Therapy Service in Sandwell. Of these, 1,252 (26%) were for children aged 0-5. There has been an 8.9% increase in the number of 0-5 referrals since 2017/18. The majority of these children are from within Sandwell – however a small number may be out-of-borough as data is gathered on the basis of GP rather than home address.</w:t>
      </w:r>
    </w:p>
    <w:p w14:paraId="41C8F878" w14:textId="77777777" w:rsidR="00003903" w:rsidRPr="00173529" w:rsidRDefault="00003903" w:rsidP="00003903">
      <w:pPr>
        <w:rPr>
          <w:rFonts w:cs="Arial"/>
          <w:sz w:val="24"/>
          <w:szCs w:val="24"/>
        </w:rPr>
      </w:pPr>
      <w:r>
        <w:rPr>
          <w:rFonts w:cs="Arial"/>
          <w:sz w:val="24"/>
          <w:szCs w:val="24"/>
        </w:rPr>
        <w:t xml:space="preserve">The highest number of referrals among 0-5 year olds is for speech and language therapy. </w:t>
      </w:r>
    </w:p>
    <w:p w14:paraId="55F0E677" w14:textId="77777777" w:rsidR="00003903" w:rsidRDefault="00003903" w:rsidP="00003903">
      <w:pPr>
        <w:rPr>
          <w:rFonts w:cs="Arial"/>
          <w:b/>
          <w:sz w:val="24"/>
          <w:szCs w:val="24"/>
        </w:rPr>
      </w:pPr>
    </w:p>
    <w:p w14:paraId="15C63907" w14:textId="359514A5" w:rsidR="00003903" w:rsidRDefault="00003903" w:rsidP="00003903">
      <w:r w:rsidRPr="009C33D3">
        <w:rPr>
          <w:rFonts w:cs="Arial"/>
          <w:b/>
          <w:sz w:val="24"/>
          <w:szCs w:val="24"/>
        </w:rPr>
        <w:t>Figure 3.</w:t>
      </w:r>
      <w:r w:rsidR="009073AE">
        <w:rPr>
          <w:rFonts w:cs="Arial"/>
          <w:b/>
          <w:sz w:val="24"/>
          <w:szCs w:val="24"/>
        </w:rPr>
        <w:t>30</w:t>
      </w:r>
      <w:r w:rsidRPr="009C33D3">
        <w:rPr>
          <w:rFonts w:cs="Arial"/>
          <w:b/>
          <w:sz w:val="24"/>
          <w:szCs w:val="24"/>
        </w:rPr>
        <w:t xml:space="preserve">: </w:t>
      </w:r>
      <w:r>
        <w:rPr>
          <w:rFonts w:cs="Arial"/>
          <w:b/>
          <w:sz w:val="24"/>
          <w:szCs w:val="24"/>
        </w:rPr>
        <w:t>Referrals to Sandwell Children’s Therapy Service by service area: Aged 0-5</w:t>
      </w:r>
      <w:r>
        <w:rPr>
          <w:rFonts w:cs="Arial"/>
          <w:b/>
          <w:sz w:val="24"/>
          <w:szCs w:val="24"/>
        </w:rPr>
        <w:br/>
      </w:r>
      <w:r w:rsidRPr="006F2EE2">
        <w:rPr>
          <w:noProof/>
        </w:rPr>
        <w:t xml:space="preserve"> </w:t>
      </w:r>
      <w:r w:rsidRPr="00205E4E">
        <w:rPr>
          <w:noProof/>
        </w:rPr>
        <w:t xml:space="preserve"> </w:t>
      </w:r>
      <w:r>
        <w:rPr>
          <w:noProof/>
        </w:rPr>
        <w:drawing>
          <wp:inline distT="0" distB="0" distL="0" distR="0" wp14:anchorId="5E8EF9C9" wp14:editId="47CE1E4B">
            <wp:extent cx="5454650" cy="3651250"/>
            <wp:effectExtent l="0" t="0" r="12700" b="6350"/>
            <wp:docPr id="26" name="Chart 26">
              <a:extLst xmlns:a="http://schemas.openxmlformats.org/drawingml/2006/main">
                <a:ext uri="{FF2B5EF4-FFF2-40B4-BE49-F238E27FC236}">
                  <a16:creationId xmlns:a16="http://schemas.microsoft.com/office/drawing/2014/main" id="{B2D53F79-7087-4462-A2EE-C637DDDB3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0867431" w14:textId="77777777" w:rsidR="00003903" w:rsidRDefault="00003903" w:rsidP="00003903">
      <w:pPr>
        <w:rPr>
          <w:rFonts w:cstheme="minorHAnsi"/>
          <w:sz w:val="24"/>
          <w:szCs w:val="24"/>
        </w:rPr>
      </w:pPr>
      <w:r w:rsidRPr="00746C05">
        <w:rPr>
          <w:rFonts w:cstheme="minorHAnsi"/>
          <w:sz w:val="24"/>
          <w:szCs w:val="24"/>
        </w:rPr>
        <w:t xml:space="preserve">Source: </w:t>
      </w:r>
      <w:r>
        <w:rPr>
          <w:rFonts w:cstheme="minorHAnsi"/>
          <w:sz w:val="24"/>
          <w:szCs w:val="24"/>
        </w:rPr>
        <w:t xml:space="preserve">Sandwell &amp; West Birmingham NHS Trust </w:t>
      </w:r>
    </w:p>
    <w:p w14:paraId="712473E8" w14:textId="77777777" w:rsidR="00003903" w:rsidRDefault="00003903" w:rsidP="00003903">
      <w:pPr>
        <w:rPr>
          <w:rFonts w:cs="Arial"/>
          <w:b/>
          <w:sz w:val="24"/>
          <w:szCs w:val="24"/>
        </w:rPr>
      </w:pPr>
    </w:p>
    <w:p w14:paraId="1E7F9214" w14:textId="77777777" w:rsidR="00003903" w:rsidRPr="00A3410B" w:rsidRDefault="00003903" w:rsidP="00003903">
      <w:pPr>
        <w:rPr>
          <w:rFonts w:cs="Arial"/>
          <w:sz w:val="24"/>
          <w:szCs w:val="24"/>
        </w:rPr>
      </w:pPr>
      <w:r w:rsidRPr="00A3410B">
        <w:rPr>
          <w:rFonts w:cs="Arial"/>
          <w:sz w:val="24"/>
          <w:szCs w:val="24"/>
        </w:rPr>
        <w:t>The greatest number of referrals is for children aged 2, 3 or 4</w:t>
      </w:r>
      <w:r>
        <w:rPr>
          <w:rFonts w:cs="Arial"/>
          <w:sz w:val="24"/>
          <w:szCs w:val="24"/>
        </w:rPr>
        <w:t>, although there has been an increase in the number of referrals aged 1 or under 1 since 2017/18 (+53.5% and +20.1% respectively).</w:t>
      </w:r>
    </w:p>
    <w:p w14:paraId="1F13DA6A" w14:textId="77777777" w:rsidR="00003903" w:rsidRDefault="00003903" w:rsidP="00003903">
      <w:pPr>
        <w:rPr>
          <w:rFonts w:cs="Arial"/>
          <w:b/>
          <w:sz w:val="24"/>
          <w:szCs w:val="24"/>
        </w:rPr>
      </w:pPr>
    </w:p>
    <w:p w14:paraId="57AEE37B" w14:textId="77777777" w:rsidR="00003903" w:rsidRDefault="00003903" w:rsidP="00003903">
      <w:pPr>
        <w:spacing w:after="160" w:line="259" w:lineRule="auto"/>
        <w:rPr>
          <w:rFonts w:cs="Arial"/>
          <w:b/>
          <w:sz w:val="24"/>
          <w:szCs w:val="24"/>
        </w:rPr>
      </w:pPr>
      <w:r>
        <w:rPr>
          <w:rFonts w:cs="Arial"/>
          <w:b/>
          <w:sz w:val="24"/>
          <w:szCs w:val="24"/>
        </w:rPr>
        <w:br w:type="page"/>
      </w:r>
    </w:p>
    <w:p w14:paraId="6B59D0C1" w14:textId="56327B12" w:rsidR="00003903" w:rsidRDefault="00003903" w:rsidP="00003903">
      <w:pPr>
        <w:rPr>
          <w:rFonts w:cstheme="minorHAnsi"/>
        </w:rPr>
      </w:pPr>
      <w:r w:rsidRPr="009C33D3">
        <w:rPr>
          <w:rFonts w:cs="Arial"/>
          <w:b/>
          <w:sz w:val="24"/>
          <w:szCs w:val="24"/>
        </w:rPr>
        <w:t>Figure 3.</w:t>
      </w:r>
      <w:r>
        <w:rPr>
          <w:rFonts w:cs="Arial"/>
          <w:b/>
          <w:sz w:val="24"/>
          <w:szCs w:val="24"/>
        </w:rPr>
        <w:t>3</w:t>
      </w:r>
      <w:r w:rsidR="009073AE">
        <w:rPr>
          <w:rFonts w:cs="Arial"/>
          <w:b/>
          <w:sz w:val="24"/>
          <w:szCs w:val="24"/>
        </w:rPr>
        <w:t>1</w:t>
      </w:r>
      <w:r w:rsidRPr="009C33D3">
        <w:rPr>
          <w:rFonts w:cs="Arial"/>
          <w:b/>
          <w:sz w:val="24"/>
          <w:szCs w:val="24"/>
        </w:rPr>
        <w:t xml:space="preserve">: </w:t>
      </w:r>
      <w:r>
        <w:rPr>
          <w:rFonts w:cs="Arial"/>
          <w:b/>
          <w:sz w:val="24"/>
          <w:szCs w:val="24"/>
        </w:rPr>
        <w:t>Referrals to Sandwell Children’s Therapy Service by age: Aged 0-5</w:t>
      </w:r>
    </w:p>
    <w:p w14:paraId="6FAA6B9B" w14:textId="77777777" w:rsidR="00003903" w:rsidRDefault="00003903" w:rsidP="00003903">
      <w:pPr>
        <w:rPr>
          <w:rFonts w:cstheme="minorHAnsi"/>
        </w:rPr>
      </w:pPr>
      <w:r>
        <w:rPr>
          <w:noProof/>
        </w:rPr>
        <w:drawing>
          <wp:inline distT="0" distB="0" distL="0" distR="0" wp14:anchorId="72BDE865" wp14:editId="496D0673">
            <wp:extent cx="5403850" cy="3365500"/>
            <wp:effectExtent l="0" t="0" r="6350" b="6350"/>
            <wp:docPr id="14" name="Chart 14">
              <a:extLst xmlns:a="http://schemas.openxmlformats.org/drawingml/2006/main">
                <a:ext uri="{FF2B5EF4-FFF2-40B4-BE49-F238E27FC236}">
                  <a16:creationId xmlns:a16="http://schemas.microsoft.com/office/drawing/2014/main" id="{B47F1585-8CBA-4DDD-9CEE-9CCFD04F0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7EEFDEF" w14:textId="77777777" w:rsidR="00003903" w:rsidRDefault="00003903" w:rsidP="00003903">
      <w:pPr>
        <w:rPr>
          <w:rFonts w:cstheme="minorHAnsi"/>
          <w:sz w:val="24"/>
          <w:szCs w:val="24"/>
        </w:rPr>
      </w:pPr>
      <w:r w:rsidRPr="00746C05">
        <w:rPr>
          <w:rFonts w:cstheme="minorHAnsi"/>
          <w:sz w:val="24"/>
          <w:szCs w:val="24"/>
        </w:rPr>
        <w:t xml:space="preserve">Source: </w:t>
      </w:r>
      <w:r>
        <w:rPr>
          <w:rFonts w:cstheme="minorHAnsi"/>
          <w:sz w:val="24"/>
          <w:szCs w:val="24"/>
        </w:rPr>
        <w:t>Sandwell &amp; West Birmingham NHS Trust</w:t>
      </w:r>
    </w:p>
    <w:p w14:paraId="2690B7EE" w14:textId="77777777" w:rsidR="00003903" w:rsidRDefault="00003903" w:rsidP="00003903">
      <w:pPr>
        <w:rPr>
          <w:rFonts w:cstheme="minorHAnsi"/>
          <w:sz w:val="24"/>
          <w:szCs w:val="24"/>
        </w:rPr>
      </w:pPr>
    </w:p>
    <w:p w14:paraId="18ECF3EA" w14:textId="77777777" w:rsidR="00003903" w:rsidRDefault="00003903" w:rsidP="00003903">
      <w:pPr>
        <w:rPr>
          <w:rFonts w:cstheme="minorHAnsi"/>
          <w:sz w:val="24"/>
          <w:szCs w:val="24"/>
        </w:rPr>
      </w:pPr>
      <w:r>
        <w:rPr>
          <w:rFonts w:cstheme="minorHAnsi"/>
          <w:sz w:val="24"/>
          <w:szCs w:val="24"/>
        </w:rPr>
        <w:t>Boys make up a much larger proportion of referrals than girls. In 2018/19, 60.1% of referrals were boys (aged 0-5).</w:t>
      </w:r>
    </w:p>
    <w:p w14:paraId="5556124D" w14:textId="77777777" w:rsidR="00003903" w:rsidRDefault="00003903" w:rsidP="00003903">
      <w:pPr>
        <w:rPr>
          <w:rFonts w:cstheme="minorHAnsi"/>
          <w:sz w:val="24"/>
          <w:szCs w:val="24"/>
        </w:rPr>
      </w:pPr>
    </w:p>
    <w:p w14:paraId="6208F9F3" w14:textId="694E04FF" w:rsidR="00003903" w:rsidRDefault="00003903" w:rsidP="00003903">
      <w:pPr>
        <w:rPr>
          <w:rFonts w:cstheme="minorHAnsi"/>
          <w:sz w:val="24"/>
          <w:szCs w:val="24"/>
        </w:rPr>
      </w:pPr>
      <w:r w:rsidRPr="009C33D3">
        <w:rPr>
          <w:rFonts w:cs="Arial"/>
          <w:b/>
          <w:sz w:val="24"/>
          <w:szCs w:val="24"/>
        </w:rPr>
        <w:t>Figure 3.</w:t>
      </w:r>
      <w:r>
        <w:rPr>
          <w:rFonts w:cs="Arial"/>
          <w:b/>
          <w:sz w:val="24"/>
          <w:szCs w:val="24"/>
        </w:rPr>
        <w:t>3</w:t>
      </w:r>
      <w:r w:rsidR="009073AE">
        <w:rPr>
          <w:rFonts w:cs="Arial"/>
          <w:b/>
          <w:sz w:val="24"/>
          <w:szCs w:val="24"/>
        </w:rPr>
        <w:t>2</w:t>
      </w:r>
      <w:r w:rsidRPr="009C33D3">
        <w:rPr>
          <w:rFonts w:cs="Arial"/>
          <w:b/>
          <w:sz w:val="24"/>
          <w:szCs w:val="24"/>
        </w:rPr>
        <w:t xml:space="preserve">: </w:t>
      </w:r>
      <w:r>
        <w:rPr>
          <w:rFonts w:cs="Arial"/>
          <w:b/>
          <w:sz w:val="24"/>
          <w:szCs w:val="24"/>
        </w:rPr>
        <w:t>Referrals to Sandwell Children’s Therapy Service by ethnicity: Aged 0-5</w:t>
      </w:r>
    </w:p>
    <w:p w14:paraId="0D69C149" w14:textId="77777777" w:rsidR="00003903" w:rsidRPr="00EB3C83" w:rsidRDefault="00003903" w:rsidP="00003903">
      <w:pPr>
        <w:rPr>
          <w:rFonts w:cstheme="minorHAnsi"/>
          <w:sz w:val="24"/>
          <w:szCs w:val="24"/>
        </w:rPr>
      </w:pPr>
      <w:r>
        <w:rPr>
          <w:noProof/>
        </w:rPr>
        <w:drawing>
          <wp:anchor distT="0" distB="0" distL="114300" distR="114300" simplePos="0" relativeHeight="251658250" behindDoc="0" locked="0" layoutInCell="1" allowOverlap="1" wp14:anchorId="02D13C39" wp14:editId="769D567F">
            <wp:simplePos x="0" y="0"/>
            <wp:positionH relativeFrom="column">
              <wp:posOffset>0</wp:posOffset>
            </wp:positionH>
            <wp:positionV relativeFrom="paragraph">
              <wp:posOffset>1270</wp:posOffset>
            </wp:positionV>
            <wp:extent cx="5359400" cy="3282950"/>
            <wp:effectExtent l="0" t="0" r="12700" b="12700"/>
            <wp:wrapTopAndBottom/>
            <wp:docPr id="196" name="Chart 196">
              <a:extLst xmlns:a="http://schemas.openxmlformats.org/drawingml/2006/main">
                <a:ext uri="{FF2B5EF4-FFF2-40B4-BE49-F238E27FC236}">
                  <a16:creationId xmlns:a16="http://schemas.microsoft.com/office/drawing/2014/main" id="{5808C65D-3A7F-4EF2-98E2-A1F764168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r>
        <w:rPr>
          <w:rFonts w:cstheme="minorHAnsi"/>
          <w:sz w:val="24"/>
          <w:szCs w:val="24"/>
        </w:rPr>
        <w:t xml:space="preserve"> </w:t>
      </w:r>
      <w:r w:rsidRPr="00EB3C83">
        <w:rPr>
          <w:rFonts w:cstheme="minorHAnsi"/>
          <w:sz w:val="24"/>
          <w:szCs w:val="24"/>
        </w:rPr>
        <w:t>Source: Sandwell &amp; West Birmingham NHS Trust</w:t>
      </w:r>
    </w:p>
    <w:p w14:paraId="2D28D77A" w14:textId="77777777" w:rsidR="00003903" w:rsidRPr="00A37A46" w:rsidRDefault="00003903" w:rsidP="00003903">
      <w:pPr>
        <w:rPr>
          <w:rFonts w:cs="Arial"/>
          <w:sz w:val="24"/>
          <w:szCs w:val="24"/>
        </w:rPr>
      </w:pPr>
      <w:r w:rsidRPr="00A37A46">
        <w:rPr>
          <w:rFonts w:cs="Arial"/>
          <w:sz w:val="24"/>
          <w:szCs w:val="24"/>
        </w:rPr>
        <w:t xml:space="preserve">In terms of ethnicity, </w:t>
      </w:r>
      <w:r>
        <w:rPr>
          <w:rFonts w:cs="Arial"/>
          <w:sz w:val="24"/>
          <w:szCs w:val="24"/>
        </w:rPr>
        <w:t>the largest proportion of referrals in 2018/19 was from White and Asian groups (35% and 27% respectively). This is a similar pattern to 2017/18.</w:t>
      </w:r>
    </w:p>
    <w:p w14:paraId="12DF2184" w14:textId="77777777" w:rsidR="00003903" w:rsidRDefault="00003903" w:rsidP="00003903">
      <w:pPr>
        <w:spacing w:after="160" w:line="259" w:lineRule="auto"/>
        <w:rPr>
          <w:rFonts w:cs="Arial"/>
          <w:b/>
          <w:sz w:val="24"/>
          <w:szCs w:val="24"/>
        </w:rPr>
      </w:pPr>
    </w:p>
    <w:p w14:paraId="15156F4A" w14:textId="3447C09A" w:rsidR="00003903" w:rsidRDefault="00003903" w:rsidP="00003903">
      <w:pPr>
        <w:rPr>
          <w:rFonts w:cs="Arial"/>
          <w:b/>
          <w:sz w:val="24"/>
          <w:szCs w:val="24"/>
        </w:rPr>
      </w:pPr>
      <w:r w:rsidRPr="009C33D3">
        <w:rPr>
          <w:rFonts w:cs="Arial"/>
          <w:b/>
          <w:sz w:val="24"/>
          <w:szCs w:val="24"/>
        </w:rPr>
        <w:t>Figure 3.</w:t>
      </w:r>
      <w:r>
        <w:rPr>
          <w:rFonts w:cs="Arial"/>
          <w:b/>
          <w:sz w:val="24"/>
          <w:szCs w:val="24"/>
        </w:rPr>
        <w:t>3</w:t>
      </w:r>
      <w:r w:rsidR="009073AE">
        <w:rPr>
          <w:rFonts w:cs="Arial"/>
          <w:b/>
          <w:sz w:val="24"/>
          <w:szCs w:val="24"/>
        </w:rPr>
        <w:t>3</w:t>
      </w:r>
      <w:r w:rsidRPr="009C33D3">
        <w:rPr>
          <w:rFonts w:cs="Arial"/>
          <w:b/>
          <w:sz w:val="24"/>
          <w:szCs w:val="24"/>
        </w:rPr>
        <w:t xml:space="preserve">: </w:t>
      </w:r>
      <w:r>
        <w:rPr>
          <w:rFonts w:cs="Arial"/>
          <w:b/>
          <w:sz w:val="24"/>
          <w:szCs w:val="24"/>
        </w:rPr>
        <w:t>Referrals to Sandwell Children’s Therapy Service by source: Aged 0-5</w:t>
      </w:r>
    </w:p>
    <w:p w14:paraId="725B3568" w14:textId="77777777" w:rsidR="00003903" w:rsidRDefault="00003903" w:rsidP="00003903">
      <w:r w:rsidRPr="004D7BD0">
        <w:rPr>
          <w:rFonts w:cs="Arial"/>
          <w:b/>
          <w:sz w:val="24"/>
          <w:szCs w:val="24"/>
        </w:rPr>
        <w:t>*</w:t>
      </w:r>
      <w:r>
        <w:t xml:space="preserve"> Only sources where there were more than 10 referrals in 2018/19</w:t>
      </w:r>
    </w:p>
    <w:p w14:paraId="301CDA95" w14:textId="77777777" w:rsidR="00003903" w:rsidRPr="00937E7C" w:rsidRDefault="00003903" w:rsidP="00003903">
      <w:r>
        <w:rPr>
          <w:noProof/>
        </w:rPr>
        <w:drawing>
          <wp:inline distT="0" distB="0" distL="0" distR="0" wp14:anchorId="09BF1F58" wp14:editId="0D0C357C">
            <wp:extent cx="5803900" cy="3689350"/>
            <wp:effectExtent l="0" t="0" r="6350" b="6350"/>
            <wp:docPr id="19" name="Chart 19">
              <a:extLst xmlns:a="http://schemas.openxmlformats.org/drawingml/2006/main">
                <a:ext uri="{FF2B5EF4-FFF2-40B4-BE49-F238E27FC236}">
                  <a16:creationId xmlns:a16="http://schemas.microsoft.com/office/drawing/2014/main" id="{23665BBA-253C-45D7-A039-C9974694A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DFA4D16" w14:textId="77777777" w:rsidR="00003903" w:rsidRPr="003E2CFF" w:rsidRDefault="00003903" w:rsidP="003E2CFF">
      <w:pPr>
        <w:rPr>
          <w:sz w:val="24"/>
          <w:szCs w:val="24"/>
        </w:rPr>
      </w:pPr>
      <w:r w:rsidRPr="003E2CFF">
        <w:rPr>
          <w:sz w:val="24"/>
          <w:szCs w:val="24"/>
        </w:rPr>
        <w:t>Source: Sandwell &amp; West Birmingham NHS Trust</w:t>
      </w:r>
    </w:p>
    <w:p w14:paraId="75BB0436" w14:textId="77777777" w:rsidR="003E2CFF" w:rsidRDefault="003E2CFF" w:rsidP="00003903">
      <w:pPr>
        <w:rPr>
          <w:sz w:val="24"/>
          <w:szCs w:val="24"/>
        </w:rPr>
      </w:pPr>
    </w:p>
    <w:p w14:paraId="666C1F5B" w14:textId="35E38D93" w:rsidR="00003903" w:rsidRDefault="00003903" w:rsidP="00003903">
      <w:pPr>
        <w:rPr>
          <w:sz w:val="24"/>
          <w:szCs w:val="24"/>
        </w:rPr>
      </w:pPr>
      <w:r w:rsidRPr="00BA36F1">
        <w:rPr>
          <w:sz w:val="24"/>
          <w:szCs w:val="24"/>
        </w:rPr>
        <w:t>The most common source of</w:t>
      </w:r>
      <w:r>
        <w:rPr>
          <w:sz w:val="24"/>
          <w:szCs w:val="24"/>
        </w:rPr>
        <w:t xml:space="preserve"> referral in 2018/19 is “self-referral”, with 740 (59.1%) referrals from this source. The second most common source of referral is “hospital/consultant referral”, with 205 referrals from this source in 2018/19 (16.4%).</w:t>
      </w:r>
    </w:p>
    <w:p w14:paraId="4153E859" w14:textId="50491464" w:rsidR="00003903" w:rsidRDefault="00003903" w:rsidP="00003903">
      <w:pPr>
        <w:spacing w:after="160" w:line="259" w:lineRule="auto"/>
        <w:rPr>
          <w:rFonts w:eastAsiaTheme="majorEastAsia" w:cs="Arial"/>
          <w:sz w:val="24"/>
          <w:szCs w:val="24"/>
        </w:rPr>
      </w:pPr>
    </w:p>
    <w:p w14:paraId="241F8E3F" w14:textId="77777777" w:rsidR="00003903" w:rsidRDefault="00003903" w:rsidP="005B1F6D">
      <w:pPr>
        <w:pStyle w:val="Heading2"/>
      </w:pPr>
    </w:p>
    <w:p w14:paraId="69A0C05B" w14:textId="614596AD" w:rsidR="00476DF7" w:rsidRDefault="00476DF7">
      <w:pPr>
        <w:spacing w:after="160" w:line="259" w:lineRule="auto"/>
      </w:pPr>
      <w:r>
        <w:br w:type="page"/>
      </w:r>
    </w:p>
    <w:p w14:paraId="27992BD5" w14:textId="77777777" w:rsidR="00476DF7" w:rsidRPr="00434A67" w:rsidRDefault="00476DF7" w:rsidP="00476DF7">
      <w:pPr>
        <w:pStyle w:val="Heading1"/>
      </w:pPr>
      <w:r w:rsidRPr="00434A67">
        <w:t>Current service provision</w:t>
      </w:r>
    </w:p>
    <w:p w14:paraId="3A3355AF" w14:textId="77777777" w:rsidR="00476DF7" w:rsidRPr="00434A67" w:rsidRDefault="00476DF7" w:rsidP="00476DF7">
      <w:pPr>
        <w:rPr>
          <w:rFonts w:cstheme="minorHAnsi"/>
          <w:b/>
        </w:rPr>
      </w:pPr>
    </w:p>
    <w:p w14:paraId="59CD295B" w14:textId="77777777" w:rsidR="00476DF7" w:rsidRPr="00883A7A" w:rsidRDefault="00476DF7" w:rsidP="00476DF7">
      <w:pPr>
        <w:rPr>
          <w:rFonts w:cstheme="minorHAnsi"/>
        </w:rPr>
      </w:pPr>
      <w:r w:rsidRPr="00883A7A">
        <w:rPr>
          <w:rStyle w:val="Heading2Char"/>
          <w:rFonts w:cstheme="minorHAnsi"/>
        </w:rPr>
        <w:t>Maternity Services in Sandwell</w:t>
      </w:r>
      <w:r w:rsidRPr="00883A7A">
        <w:rPr>
          <w:rFonts w:cstheme="minorHAnsi"/>
        </w:rPr>
        <w:t xml:space="preserve"> </w:t>
      </w:r>
    </w:p>
    <w:p w14:paraId="2EB872D5" w14:textId="77777777" w:rsidR="00476DF7" w:rsidRPr="00B13D4A" w:rsidRDefault="00476DF7" w:rsidP="00476DF7">
      <w:pPr>
        <w:rPr>
          <w:rFonts w:cstheme="minorHAnsi"/>
          <w:sz w:val="24"/>
          <w:szCs w:val="24"/>
        </w:rPr>
      </w:pPr>
      <w:r w:rsidRPr="00B13D4A">
        <w:rPr>
          <w:rFonts w:cstheme="minorHAnsi"/>
          <w:sz w:val="24"/>
          <w:szCs w:val="24"/>
        </w:rPr>
        <w:t xml:space="preserve">Maternity services are defined as the provision of care to women and their partners who are pregnant or have recently given birth. The lead health professional is either the midwife or the consultant Obstetrician. The service has three distinct areas:  </w:t>
      </w:r>
    </w:p>
    <w:p w14:paraId="751A28FF" w14:textId="77777777" w:rsidR="00476DF7" w:rsidRPr="00B13D4A" w:rsidRDefault="00476DF7" w:rsidP="00B13D4A">
      <w:pPr>
        <w:pStyle w:val="ListParagraph"/>
        <w:numPr>
          <w:ilvl w:val="0"/>
          <w:numId w:val="35"/>
        </w:numPr>
        <w:spacing w:line="240" w:lineRule="auto"/>
        <w:contextualSpacing w:val="0"/>
        <w:rPr>
          <w:rFonts w:cstheme="minorHAnsi"/>
          <w:sz w:val="24"/>
          <w:szCs w:val="24"/>
        </w:rPr>
      </w:pPr>
      <w:r w:rsidRPr="00B13D4A">
        <w:rPr>
          <w:rFonts w:cstheme="minorHAnsi"/>
          <w:b/>
          <w:bCs/>
          <w:sz w:val="24"/>
          <w:szCs w:val="24"/>
        </w:rPr>
        <w:t>Antenatal care</w:t>
      </w:r>
      <w:r w:rsidRPr="00B13D4A">
        <w:rPr>
          <w:rFonts w:cstheme="minorHAnsi"/>
          <w:sz w:val="24"/>
          <w:szCs w:val="24"/>
        </w:rPr>
        <w:t>: predominantly provided in community settings</w:t>
      </w:r>
    </w:p>
    <w:p w14:paraId="07A3B3C1" w14:textId="77777777" w:rsidR="00476DF7" w:rsidRPr="00B13D4A" w:rsidRDefault="00476DF7" w:rsidP="00B13D4A">
      <w:pPr>
        <w:pStyle w:val="ListParagraph"/>
        <w:numPr>
          <w:ilvl w:val="0"/>
          <w:numId w:val="35"/>
        </w:numPr>
        <w:spacing w:line="240" w:lineRule="auto"/>
        <w:contextualSpacing w:val="0"/>
        <w:rPr>
          <w:rFonts w:cstheme="minorHAnsi"/>
          <w:sz w:val="24"/>
          <w:szCs w:val="24"/>
        </w:rPr>
      </w:pPr>
      <w:r w:rsidRPr="00B13D4A">
        <w:rPr>
          <w:rFonts w:cstheme="minorHAnsi"/>
          <w:b/>
          <w:bCs/>
          <w:sz w:val="24"/>
          <w:szCs w:val="24"/>
        </w:rPr>
        <w:t>Intra partum care</w:t>
      </w:r>
      <w:r w:rsidRPr="00B13D4A">
        <w:rPr>
          <w:rFonts w:cstheme="minorHAnsi"/>
          <w:sz w:val="24"/>
          <w:szCs w:val="24"/>
        </w:rPr>
        <w:t>: the birth episode - in Sandwell women can access home birth, hospital birth or birth within a Midwife Led Unit</w:t>
      </w:r>
    </w:p>
    <w:p w14:paraId="2E33A2FE" w14:textId="77777777" w:rsidR="00476DF7" w:rsidRPr="00B13D4A" w:rsidRDefault="00476DF7" w:rsidP="00B13D4A">
      <w:pPr>
        <w:pStyle w:val="ListParagraph"/>
        <w:numPr>
          <w:ilvl w:val="0"/>
          <w:numId w:val="35"/>
        </w:numPr>
        <w:spacing w:line="240" w:lineRule="auto"/>
        <w:contextualSpacing w:val="0"/>
        <w:rPr>
          <w:rFonts w:cstheme="minorHAnsi"/>
          <w:sz w:val="24"/>
          <w:szCs w:val="24"/>
        </w:rPr>
      </w:pPr>
      <w:r w:rsidRPr="00B13D4A">
        <w:rPr>
          <w:rFonts w:cstheme="minorHAnsi"/>
          <w:b/>
          <w:bCs/>
          <w:sz w:val="24"/>
          <w:szCs w:val="24"/>
        </w:rPr>
        <w:t>Postnatal care</w:t>
      </w:r>
      <w:r w:rsidRPr="00B13D4A">
        <w:rPr>
          <w:rFonts w:cstheme="minorHAnsi"/>
          <w:sz w:val="24"/>
          <w:szCs w:val="24"/>
        </w:rPr>
        <w:t>, including the health and well-being of newborn babies: normally provided for 10 days within the family home</w:t>
      </w:r>
    </w:p>
    <w:p w14:paraId="0E00C6BD" w14:textId="77777777" w:rsidR="00476DF7" w:rsidRPr="00B13D4A" w:rsidRDefault="00476DF7" w:rsidP="00476DF7">
      <w:pPr>
        <w:rPr>
          <w:rFonts w:cstheme="minorHAnsi"/>
          <w:sz w:val="24"/>
          <w:szCs w:val="24"/>
        </w:rPr>
      </w:pPr>
    </w:p>
    <w:p w14:paraId="4ED4F9AE" w14:textId="77777777" w:rsidR="00476DF7" w:rsidRPr="00B13D4A" w:rsidRDefault="00476DF7" w:rsidP="00476DF7">
      <w:pPr>
        <w:rPr>
          <w:rFonts w:cstheme="minorHAnsi"/>
          <w:sz w:val="24"/>
          <w:szCs w:val="24"/>
        </w:rPr>
      </w:pPr>
      <w:r w:rsidRPr="00B13D4A">
        <w:rPr>
          <w:rFonts w:cstheme="minorHAnsi"/>
          <w:sz w:val="24"/>
          <w:szCs w:val="24"/>
        </w:rPr>
        <w:t>Additionally, Perinatal mental health services are available across the whole maternity pathway in conjunction with mental health services.</w:t>
      </w:r>
    </w:p>
    <w:p w14:paraId="5B7B6AD1" w14:textId="77777777" w:rsidR="00476DF7" w:rsidRPr="00B13D4A" w:rsidRDefault="00476DF7" w:rsidP="00476DF7">
      <w:pPr>
        <w:rPr>
          <w:rFonts w:cstheme="minorHAnsi"/>
          <w:sz w:val="24"/>
          <w:szCs w:val="24"/>
        </w:rPr>
      </w:pPr>
      <w:r w:rsidRPr="00B13D4A">
        <w:rPr>
          <w:rFonts w:cstheme="minorHAnsi"/>
          <w:sz w:val="24"/>
          <w:szCs w:val="24"/>
        </w:rPr>
        <w:t xml:space="preserve">Sandwell and West Birmingham Clinical Commissioning Group (CCG) are responsible for commissioning maternity care in Sandwell. The CCG ensures that Sandwell &amp; West Birmingham Hospital Trust provide a high quality, clinically safe, and cost-effective maternity service which offers choice to women and their partners (choice of how to access the service, choice of type of antenatal care, choice of birth place and choice of postnatal care), with a key focus on normalising birth and promoting healthy lifestyles during pregnancy and in the early years, appropriate to their clinical condition. Maternity care in Sandwell is provided in accordance with the requirements of the latest national policy guidance, evidence and best practice and reflects the local needs and priorities of women and families within Sandwell. </w:t>
      </w:r>
    </w:p>
    <w:p w14:paraId="28BDAF44" w14:textId="77777777" w:rsidR="00476DF7" w:rsidRPr="00B13D4A" w:rsidRDefault="00476DF7" w:rsidP="00476DF7">
      <w:pPr>
        <w:rPr>
          <w:rFonts w:cstheme="minorHAnsi"/>
          <w:sz w:val="24"/>
          <w:szCs w:val="24"/>
        </w:rPr>
      </w:pPr>
      <w:r w:rsidRPr="00B13D4A">
        <w:rPr>
          <w:rFonts w:cstheme="minorHAnsi"/>
          <w:sz w:val="24"/>
          <w:szCs w:val="24"/>
        </w:rPr>
        <w:t>City Hospital located in Birmingham is the current provider of maternity services for women in Sandwell. The choice agenda allows women to choose their place of birth, and currently approximately 40% of women residing in Sandwell are choosing to deliver their babies in a hospital located in the Black Country (Walsall, Wolverhampton or Dudley).</w:t>
      </w:r>
    </w:p>
    <w:p w14:paraId="0FF9874B" w14:textId="77777777" w:rsidR="00476DF7" w:rsidRPr="00883A7A" w:rsidRDefault="00476DF7" w:rsidP="00476DF7">
      <w:pPr>
        <w:rPr>
          <w:rFonts w:cstheme="minorHAnsi"/>
        </w:rPr>
      </w:pPr>
      <w:r w:rsidRPr="00B13D4A">
        <w:rPr>
          <w:rFonts w:cstheme="minorHAnsi"/>
          <w:sz w:val="24"/>
          <w:szCs w:val="24"/>
        </w:rPr>
        <w:t>Maternity services are available 24 hours a day 365 days a year, including an ‘out of hours’ service for community concerns. Arrangements are in place to ensure women can access advice/services 24 hours a day 365 days a year.</w:t>
      </w:r>
      <w:r w:rsidRPr="00883A7A">
        <w:rPr>
          <w:rFonts w:cstheme="minorHAnsi"/>
        </w:rPr>
        <w:t xml:space="preserve">  </w:t>
      </w:r>
    </w:p>
    <w:p w14:paraId="72C7F593" w14:textId="77777777" w:rsidR="00476DF7" w:rsidRDefault="00476DF7" w:rsidP="00476DF7"/>
    <w:p w14:paraId="7C25047B" w14:textId="77777777" w:rsidR="00476DF7" w:rsidRPr="00CC275D" w:rsidRDefault="00476DF7" w:rsidP="00476DF7">
      <w:pPr>
        <w:pStyle w:val="Heading2"/>
        <w:spacing w:after="120"/>
        <w:rPr>
          <w:rFonts w:cstheme="minorHAnsi"/>
        </w:rPr>
      </w:pPr>
      <w:r w:rsidRPr="00CC275D">
        <w:rPr>
          <w:rFonts w:cstheme="minorHAnsi"/>
        </w:rPr>
        <w:t>Primary Care</w:t>
      </w:r>
    </w:p>
    <w:p w14:paraId="3329DB18" w14:textId="77777777" w:rsidR="00476DF7" w:rsidRPr="00B13D4A" w:rsidRDefault="00476DF7" w:rsidP="00476DF7">
      <w:pPr>
        <w:rPr>
          <w:rFonts w:cstheme="minorHAnsi"/>
          <w:sz w:val="24"/>
          <w:szCs w:val="24"/>
        </w:rPr>
      </w:pPr>
      <w:r w:rsidRPr="00B13D4A">
        <w:rPr>
          <w:rFonts w:cstheme="minorHAnsi"/>
          <w:sz w:val="24"/>
          <w:szCs w:val="24"/>
        </w:rPr>
        <w:t xml:space="preserve">Sandwell and West Birmingham Clinical Commissioning Group currently commission services for the Sandwell population, and are part of the wider Black Country and West Birmingham STP area. </w:t>
      </w:r>
    </w:p>
    <w:p w14:paraId="67C6FDA9" w14:textId="77777777" w:rsidR="00476DF7" w:rsidRPr="00B13D4A" w:rsidRDefault="00476DF7" w:rsidP="00476DF7">
      <w:pPr>
        <w:rPr>
          <w:rFonts w:cstheme="minorHAnsi"/>
          <w:sz w:val="24"/>
          <w:szCs w:val="24"/>
        </w:rPr>
      </w:pPr>
      <w:r w:rsidRPr="00B13D4A">
        <w:rPr>
          <w:rFonts w:cstheme="minorHAnsi"/>
          <w:sz w:val="24"/>
          <w:szCs w:val="24"/>
        </w:rPr>
        <w:t xml:space="preserve">There are 53 GP Practices in Sandwell itself, that are grouped together into 10 Primary Care Networks. There is an identified clinical lead for Children and Maternity Services along with a lead GP in each network. </w:t>
      </w:r>
    </w:p>
    <w:p w14:paraId="57FE2358" w14:textId="77777777" w:rsidR="00476DF7" w:rsidRPr="00B13D4A" w:rsidRDefault="00476DF7" w:rsidP="00476DF7">
      <w:pPr>
        <w:rPr>
          <w:rFonts w:cstheme="minorHAnsi"/>
          <w:sz w:val="24"/>
          <w:szCs w:val="24"/>
        </w:rPr>
      </w:pPr>
      <w:r w:rsidRPr="00B13D4A">
        <w:rPr>
          <w:rFonts w:cstheme="minorHAnsi"/>
          <w:sz w:val="24"/>
          <w:szCs w:val="24"/>
        </w:rPr>
        <w:t>Sandwell Care Alliance (which includes commissioners and providers within Primary Care, NHS Trusts, Local Authority and VCS) has been established to create integrated care systems. School Readiness has been identified as a priority area for service improvement.</w:t>
      </w:r>
    </w:p>
    <w:p w14:paraId="4B9ED6D6" w14:textId="77777777" w:rsidR="00476DF7" w:rsidRPr="00B13D4A" w:rsidRDefault="00476DF7" w:rsidP="00476DF7">
      <w:pPr>
        <w:rPr>
          <w:rFonts w:cstheme="minorHAnsi"/>
          <w:sz w:val="24"/>
          <w:szCs w:val="24"/>
        </w:rPr>
      </w:pPr>
      <w:r w:rsidRPr="00B13D4A">
        <w:rPr>
          <w:rFonts w:cstheme="minorHAnsi"/>
          <w:sz w:val="24"/>
          <w:szCs w:val="24"/>
        </w:rPr>
        <w:t>In addition to their general appointments, GP practices are contracted to provide ante and post-natal primary medical services alongside the care provided through Maternity Services. At 6-8 weeks post-delivery they carry out a newborn infant physical examination. They also provide immunisations, Child Health Surveillance and management of chronic conditions. In common with all professionals working directly with families they have an important role in safeguarding children and sharing information where children are identified as being at risk. From 2020/21 the GP Contract will also include a universal 6-8 week postnatal check for mothers. There will also be a bigger emphasis on pre-conceptual advice and care, specifically an annual review of women of childbearing age being prescribed Valproate, because of the risk of neurodevelopmental disorders and birth defects.</w:t>
      </w:r>
    </w:p>
    <w:p w14:paraId="27A4B0DA" w14:textId="77777777" w:rsidR="00476DF7" w:rsidRPr="00B13D4A" w:rsidRDefault="00476DF7" w:rsidP="00476DF7">
      <w:pPr>
        <w:rPr>
          <w:rFonts w:cstheme="minorHAnsi"/>
          <w:sz w:val="24"/>
          <w:szCs w:val="24"/>
        </w:rPr>
      </w:pPr>
      <w:r w:rsidRPr="00B13D4A">
        <w:rPr>
          <w:rFonts w:cstheme="minorHAnsi"/>
          <w:sz w:val="24"/>
          <w:szCs w:val="24"/>
        </w:rPr>
        <w:t>With the recent development of the Primary Care Networks, there has been additional national funding to develop new ‘Social Prescribing’ link worker roles.  This development is at an early stage in Sandwell, but presents an opportunity to support young families in a different way, by helping them to access community-based opportunities to help maintain their health and wellbeing and reduce social isolation.</w:t>
      </w:r>
    </w:p>
    <w:p w14:paraId="74215E41" w14:textId="77777777" w:rsidR="00476DF7" w:rsidRDefault="00476DF7" w:rsidP="00476DF7"/>
    <w:p w14:paraId="36150EE1" w14:textId="77777777" w:rsidR="00476DF7" w:rsidRPr="00883A7A" w:rsidRDefault="00476DF7" w:rsidP="00476DF7">
      <w:pPr>
        <w:pStyle w:val="Heading2"/>
        <w:spacing w:after="120"/>
        <w:rPr>
          <w:rFonts w:ascii="Calibri" w:hAnsi="Calibri" w:cs="Calibri"/>
        </w:rPr>
      </w:pPr>
      <w:r w:rsidRPr="00883A7A">
        <w:rPr>
          <w:rFonts w:ascii="Calibri" w:hAnsi="Calibri" w:cs="Calibri"/>
        </w:rPr>
        <w:t>Health Visiting Service</w:t>
      </w:r>
    </w:p>
    <w:p w14:paraId="60E88DA7" w14:textId="77777777" w:rsidR="00476DF7" w:rsidRPr="00B13D4A" w:rsidRDefault="00476DF7" w:rsidP="00476DF7">
      <w:pPr>
        <w:autoSpaceDE w:val="0"/>
        <w:autoSpaceDN w:val="0"/>
        <w:rPr>
          <w:rFonts w:cstheme="minorHAnsi"/>
          <w:color w:val="000000"/>
          <w:sz w:val="24"/>
          <w:szCs w:val="24"/>
        </w:rPr>
      </w:pPr>
      <w:r w:rsidRPr="00B13D4A">
        <w:rPr>
          <w:rFonts w:cstheme="minorHAnsi"/>
          <w:color w:val="000000"/>
          <w:sz w:val="24"/>
          <w:szCs w:val="24"/>
        </w:rPr>
        <w:t xml:space="preserve">The Health Visiting service work in partnership to deliver services to children, young people and families. The service works alongside all stakeholders/agencies to deliver the health visiting service offer at 4 levels; </w:t>
      </w:r>
    </w:p>
    <w:p w14:paraId="548F172F" w14:textId="77777777" w:rsidR="00476DF7" w:rsidRPr="00B13D4A" w:rsidRDefault="00476DF7" w:rsidP="00B13D4A">
      <w:pPr>
        <w:pStyle w:val="ListParagraph"/>
        <w:numPr>
          <w:ilvl w:val="0"/>
          <w:numId w:val="36"/>
        </w:numPr>
        <w:autoSpaceDE w:val="0"/>
        <w:autoSpaceDN w:val="0"/>
        <w:spacing w:line="240" w:lineRule="auto"/>
        <w:ind w:left="714" w:hanging="357"/>
        <w:contextualSpacing w:val="0"/>
        <w:rPr>
          <w:rFonts w:cstheme="minorHAnsi"/>
          <w:color w:val="000000"/>
          <w:sz w:val="24"/>
          <w:szCs w:val="24"/>
        </w:rPr>
      </w:pPr>
      <w:r w:rsidRPr="00B13D4A">
        <w:rPr>
          <w:rFonts w:cstheme="minorHAnsi"/>
          <w:b/>
          <w:bCs/>
          <w:sz w:val="24"/>
          <w:szCs w:val="24"/>
        </w:rPr>
        <w:t xml:space="preserve">Your community </w:t>
      </w:r>
      <w:r w:rsidRPr="00B13D4A">
        <w:rPr>
          <w:rFonts w:cstheme="minorHAnsi"/>
          <w:sz w:val="24"/>
          <w:szCs w:val="24"/>
        </w:rPr>
        <w:t>offers a range of services, including some Sure Start Children’s Centre services and the services families and communities provide for themselves. Health visitors work to develop these and make sure local families know about them.</w:t>
      </w:r>
    </w:p>
    <w:p w14:paraId="107945E9" w14:textId="77777777" w:rsidR="00476DF7" w:rsidRPr="00B13D4A" w:rsidRDefault="00476DF7" w:rsidP="00B13D4A">
      <w:pPr>
        <w:pStyle w:val="ListParagraph"/>
        <w:numPr>
          <w:ilvl w:val="0"/>
          <w:numId w:val="36"/>
        </w:numPr>
        <w:autoSpaceDE w:val="0"/>
        <w:autoSpaceDN w:val="0"/>
        <w:spacing w:line="240" w:lineRule="auto"/>
        <w:ind w:left="714" w:hanging="357"/>
        <w:contextualSpacing w:val="0"/>
        <w:rPr>
          <w:rFonts w:cstheme="minorHAnsi"/>
          <w:sz w:val="24"/>
          <w:szCs w:val="24"/>
        </w:rPr>
      </w:pPr>
      <w:r w:rsidRPr="00B13D4A">
        <w:rPr>
          <w:rFonts w:cstheme="minorHAnsi"/>
          <w:b/>
          <w:bCs/>
          <w:sz w:val="24"/>
          <w:szCs w:val="24"/>
        </w:rPr>
        <w:t xml:space="preserve">Universal services </w:t>
      </w:r>
      <w:r w:rsidRPr="00B13D4A">
        <w:rPr>
          <w:rFonts w:cstheme="minorHAnsi"/>
          <w:sz w:val="24"/>
          <w:szCs w:val="24"/>
        </w:rPr>
        <w:t xml:space="preserve">from the health visitor team working with general practice to ensure that families can access the Healthy Child Programme, and that parents are supported at key times and have access to a range of community services. </w:t>
      </w:r>
      <w:r w:rsidRPr="00B13D4A">
        <w:rPr>
          <w:rFonts w:cstheme="minorHAnsi"/>
          <w:color w:val="000000"/>
          <w:sz w:val="24"/>
          <w:szCs w:val="24"/>
        </w:rPr>
        <w:t>The Universal offer from the service includes: </w:t>
      </w:r>
    </w:p>
    <w:p w14:paraId="177BBB56" w14:textId="77777777" w:rsidR="00476DF7" w:rsidRPr="00B13D4A" w:rsidRDefault="00476DF7" w:rsidP="00B13D4A">
      <w:pPr>
        <w:numPr>
          <w:ilvl w:val="0"/>
          <w:numId w:val="37"/>
        </w:numPr>
        <w:autoSpaceDE w:val="0"/>
        <w:autoSpaceDN w:val="0"/>
        <w:spacing w:after="0" w:line="240" w:lineRule="auto"/>
        <w:ind w:left="1434" w:hanging="357"/>
        <w:rPr>
          <w:rFonts w:cstheme="minorHAnsi"/>
          <w:color w:val="000000"/>
          <w:sz w:val="24"/>
          <w:szCs w:val="24"/>
        </w:rPr>
      </w:pPr>
      <w:r w:rsidRPr="00B13D4A">
        <w:rPr>
          <w:rFonts w:cstheme="minorHAnsi"/>
          <w:color w:val="000000"/>
          <w:sz w:val="24"/>
          <w:szCs w:val="24"/>
        </w:rPr>
        <w:t>Antenatal contact</w:t>
      </w:r>
    </w:p>
    <w:p w14:paraId="00CE94DC" w14:textId="77777777" w:rsidR="00476DF7" w:rsidRPr="00B13D4A" w:rsidRDefault="00476DF7" w:rsidP="00B13D4A">
      <w:pPr>
        <w:numPr>
          <w:ilvl w:val="0"/>
          <w:numId w:val="37"/>
        </w:numPr>
        <w:autoSpaceDE w:val="0"/>
        <w:autoSpaceDN w:val="0"/>
        <w:spacing w:after="0" w:line="240" w:lineRule="auto"/>
        <w:ind w:left="1434" w:hanging="357"/>
        <w:rPr>
          <w:rFonts w:cstheme="minorHAnsi"/>
          <w:color w:val="000000"/>
          <w:sz w:val="24"/>
          <w:szCs w:val="24"/>
        </w:rPr>
      </w:pPr>
      <w:r w:rsidRPr="00B13D4A">
        <w:rPr>
          <w:rFonts w:cstheme="minorHAnsi"/>
          <w:color w:val="000000"/>
          <w:sz w:val="24"/>
          <w:szCs w:val="24"/>
        </w:rPr>
        <w:t>New birth visit at 10-14 days</w:t>
      </w:r>
    </w:p>
    <w:p w14:paraId="10315B65" w14:textId="77777777" w:rsidR="00476DF7" w:rsidRPr="00B13D4A" w:rsidRDefault="00476DF7" w:rsidP="00B13D4A">
      <w:pPr>
        <w:numPr>
          <w:ilvl w:val="0"/>
          <w:numId w:val="37"/>
        </w:numPr>
        <w:autoSpaceDE w:val="0"/>
        <w:autoSpaceDN w:val="0"/>
        <w:spacing w:after="0" w:line="240" w:lineRule="auto"/>
        <w:ind w:left="1434" w:hanging="357"/>
        <w:rPr>
          <w:rFonts w:cstheme="minorHAnsi"/>
          <w:color w:val="000000"/>
          <w:sz w:val="24"/>
          <w:szCs w:val="24"/>
        </w:rPr>
      </w:pPr>
      <w:r w:rsidRPr="00B13D4A">
        <w:rPr>
          <w:rFonts w:cstheme="minorHAnsi"/>
          <w:color w:val="000000"/>
          <w:sz w:val="24"/>
          <w:szCs w:val="24"/>
        </w:rPr>
        <w:t>6-8 weeks review</w:t>
      </w:r>
    </w:p>
    <w:p w14:paraId="508BF042" w14:textId="77777777" w:rsidR="00476DF7" w:rsidRPr="00B13D4A" w:rsidRDefault="00476DF7" w:rsidP="00B13D4A">
      <w:pPr>
        <w:numPr>
          <w:ilvl w:val="0"/>
          <w:numId w:val="37"/>
        </w:numPr>
        <w:autoSpaceDE w:val="0"/>
        <w:autoSpaceDN w:val="0"/>
        <w:spacing w:after="0" w:line="240" w:lineRule="auto"/>
        <w:ind w:left="1434" w:hanging="357"/>
        <w:rPr>
          <w:rFonts w:cstheme="minorHAnsi"/>
          <w:sz w:val="24"/>
          <w:szCs w:val="24"/>
        </w:rPr>
      </w:pPr>
      <w:r w:rsidRPr="00B13D4A">
        <w:rPr>
          <w:rFonts w:cstheme="minorHAnsi"/>
          <w:color w:val="000000"/>
          <w:sz w:val="24"/>
          <w:szCs w:val="24"/>
        </w:rPr>
        <w:t>9-12 month development review</w:t>
      </w:r>
    </w:p>
    <w:p w14:paraId="238CECA8" w14:textId="77777777" w:rsidR="00476DF7" w:rsidRPr="00B13D4A" w:rsidRDefault="00476DF7" w:rsidP="00B13D4A">
      <w:pPr>
        <w:pStyle w:val="ListParagraph"/>
        <w:numPr>
          <w:ilvl w:val="0"/>
          <w:numId w:val="37"/>
        </w:numPr>
        <w:autoSpaceDE w:val="0"/>
        <w:autoSpaceDN w:val="0"/>
        <w:spacing w:line="240" w:lineRule="auto"/>
        <w:ind w:left="1434" w:hanging="357"/>
        <w:contextualSpacing w:val="0"/>
        <w:rPr>
          <w:rFonts w:cstheme="minorHAnsi"/>
          <w:color w:val="000000"/>
          <w:sz w:val="24"/>
          <w:szCs w:val="24"/>
        </w:rPr>
      </w:pPr>
      <w:r w:rsidRPr="00B13D4A">
        <w:rPr>
          <w:rFonts w:cstheme="minorHAnsi"/>
          <w:color w:val="000000"/>
          <w:sz w:val="24"/>
          <w:szCs w:val="24"/>
        </w:rPr>
        <w:t>2-2.5 years development review</w:t>
      </w:r>
    </w:p>
    <w:p w14:paraId="705FAE90" w14:textId="77777777" w:rsidR="00476DF7" w:rsidRPr="00B13D4A" w:rsidRDefault="00476DF7" w:rsidP="00B13D4A">
      <w:pPr>
        <w:pStyle w:val="ListParagraph"/>
        <w:numPr>
          <w:ilvl w:val="0"/>
          <w:numId w:val="36"/>
        </w:numPr>
        <w:spacing w:line="240" w:lineRule="auto"/>
        <w:ind w:left="714" w:hanging="357"/>
        <w:contextualSpacing w:val="0"/>
        <w:rPr>
          <w:rFonts w:cstheme="minorHAnsi"/>
          <w:sz w:val="24"/>
          <w:szCs w:val="24"/>
        </w:rPr>
      </w:pPr>
      <w:r w:rsidRPr="00B13D4A">
        <w:rPr>
          <w:rFonts w:cstheme="minorHAnsi"/>
          <w:b/>
          <w:bCs/>
          <w:sz w:val="24"/>
          <w:szCs w:val="24"/>
        </w:rPr>
        <w:t xml:space="preserve">Universal plus </w:t>
      </w:r>
      <w:r w:rsidRPr="00B13D4A">
        <w:rPr>
          <w:rFonts w:cstheme="minorHAnsi"/>
          <w:sz w:val="24"/>
          <w:szCs w:val="24"/>
        </w:rPr>
        <w:t>offers rapid response from the local health visiting team when specific expert help is needed for example with postnatal depression, a sleepless baby, weaning or answering any concerns about parenting.</w:t>
      </w:r>
    </w:p>
    <w:p w14:paraId="21B8B9BC" w14:textId="77777777" w:rsidR="00476DF7" w:rsidRPr="00B13D4A" w:rsidRDefault="00476DF7" w:rsidP="00B13D4A">
      <w:pPr>
        <w:pStyle w:val="ListParagraph"/>
        <w:numPr>
          <w:ilvl w:val="0"/>
          <w:numId w:val="36"/>
        </w:numPr>
        <w:autoSpaceDE w:val="0"/>
        <w:autoSpaceDN w:val="0"/>
        <w:spacing w:line="240" w:lineRule="auto"/>
        <w:ind w:left="714" w:hanging="357"/>
        <w:contextualSpacing w:val="0"/>
        <w:rPr>
          <w:rFonts w:cstheme="minorHAnsi"/>
          <w:color w:val="000000"/>
          <w:sz w:val="24"/>
          <w:szCs w:val="24"/>
        </w:rPr>
      </w:pPr>
      <w:r w:rsidRPr="00B13D4A">
        <w:rPr>
          <w:rFonts w:cstheme="minorHAnsi"/>
          <w:b/>
          <w:bCs/>
          <w:sz w:val="24"/>
          <w:szCs w:val="24"/>
        </w:rPr>
        <w:t xml:space="preserve">Universal partnership plus </w:t>
      </w:r>
      <w:r w:rsidRPr="00B13D4A">
        <w:rPr>
          <w:rFonts w:cstheme="minorHAnsi"/>
          <w:sz w:val="24"/>
          <w:szCs w:val="24"/>
        </w:rPr>
        <w:t>provides ongoing support from the health visiting team and a range of local services to deal with more complex issues over a period of time. These include services from Sure Start Children’s Centres, other community services including charities and, where appropriate, the Family Nurse Partnership</w:t>
      </w:r>
    </w:p>
    <w:p w14:paraId="46BA18AB" w14:textId="77777777" w:rsidR="00476DF7" w:rsidRPr="00B13D4A" w:rsidRDefault="00476DF7" w:rsidP="00476DF7">
      <w:pPr>
        <w:autoSpaceDE w:val="0"/>
        <w:autoSpaceDN w:val="0"/>
        <w:rPr>
          <w:rFonts w:cstheme="minorHAnsi"/>
          <w:color w:val="000000"/>
          <w:sz w:val="24"/>
          <w:szCs w:val="24"/>
        </w:rPr>
      </w:pPr>
    </w:p>
    <w:p w14:paraId="6C513AE0" w14:textId="77777777" w:rsidR="00476DF7" w:rsidRPr="00B13D4A" w:rsidRDefault="00476DF7" w:rsidP="00476DF7">
      <w:pPr>
        <w:autoSpaceDE w:val="0"/>
        <w:autoSpaceDN w:val="0"/>
        <w:rPr>
          <w:rFonts w:cstheme="minorHAnsi"/>
          <w:sz w:val="24"/>
          <w:szCs w:val="24"/>
        </w:rPr>
      </w:pPr>
      <w:r w:rsidRPr="00B13D4A">
        <w:rPr>
          <w:rFonts w:cstheme="minorHAnsi"/>
          <w:color w:val="000000"/>
          <w:sz w:val="24"/>
          <w:szCs w:val="24"/>
        </w:rPr>
        <w:t>The health visiting service aims to support positive outcomes for children, young people and families. Health visitors lead and deliver the Healthy Child Programme ensuring all children get essential support and services. Health visitors provide ongoing support as part of range of local services working together with all families, including those with complex issues. Best Start are part of the health visiting service delivering services to vulnerable families within Sandwell.</w:t>
      </w:r>
    </w:p>
    <w:p w14:paraId="034C8CA7" w14:textId="77777777" w:rsidR="00476DF7" w:rsidRDefault="00476DF7" w:rsidP="00476DF7">
      <w:pPr>
        <w:autoSpaceDE w:val="0"/>
        <w:autoSpaceDN w:val="0"/>
        <w:rPr>
          <w:rFonts w:cstheme="minorHAnsi"/>
        </w:rPr>
      </w:pPr>
    </w:p>
    <w:p w14:paraId="2ABC9E16" w14:textId="77777777" w:rsidR="00476DF7" w:rsidRPr="00510C3B" w:rsidRDefault="00476DF7" w:rsidP="00476DF7">
      <w:pPr>
        <w:pStyle w:val="Heading2"/>
        <w:spacing w:after="120"/>
        <w:rPr>
          <w:rFonts w:cstheme="minorHAnsi"/>
        </w:rPr>
      </w:pPr>
      <w:r w:rsidRPr="00510C3B">
        <w:rPr>
          <w:rFonts w:cstheme="minorHAnsi"/>
        </w:rPr>
        <w:t xml:space="preserve">School </w:t>
      </w:r>
      <w:r>
        <w:rPr>
          <w:rFonts w:cstheme="minorHAnsi"/>
        </w:rPr>
        <w:t xml:space="preserve">Health </w:t>
      </w:r>
      <w:r w:rsidRPr="00510C3B">
        <w:rPr>
          <w:rFonts w:cstheme="minorHAnsi"/>
        </w:rPr>
        <w:t>Nursing Service</w:t>
      </w:r>
    </w:p>
    <w:p w14:paraId="21098D69" w14:textId="77777777" w:rsidR="00476DF7" w:rsidRPr="00B13D4A" w:rsidRDefault="00476DF7" w:rsidP="00476DF7">
      <w:pPr>
        <w:rPr>
          <w:rFonts w:cstheme="minorHAnsi"/>
          <w:sz w:val="24"/>
          <w:szCs w:val="24"/>
        </w:rPr>
      </w:pPr>
      <w:r w:rsidRPr="00B13D4A">
        <w:rPr>
          <w:rFonts w:cstheme="minorHAnsi"/>
          <w:sz w:val="24"/>
          <w:szCs w:val="24"/>
        </w:rPr>
        <w:t xml:space="preserve">The School Health Nursing Service in Sandwell is currently provided by Sandwell and West Birmingham Hospital NHS Trust. </w:t>
      </w:r>
    </w:p>
    <w:p w14:paraId="0682B057" w14:textId="77777777" w:rsidR="00476DF7" w:rsidRPr="00B13D4A" w:rsidRDefault="00476DF7" w:rsidP="00476DF7">
      <w:pPr>
        <w:rPr>
          <w:rFonts w:cstheme="minorHAnsi"/>
          <w:sz w:val="24"/>
          <w:szCs w:val="24"/>
        </w:rPr>
      </w:pPr>
      <w:r w:rsidRPr="00B13D4A">
        <w:rPr>
          <w:rFonts w:cstheme="minorHAnsi"/>
          <w:sz w:val="24"/>
          <w:szCs w:val="24"/>
        </w:rPr>
        <w:t xml:space="preserve">To support transition to school reception, the school nurses work with schools to identify opportunities to engage with parents (e.g. at introductory parents’ meetings), offering advice and brief intervention where necessary in the summer prior to children starting reception so that any outstanding concerns can be addressed. </w:t>
      </w:r>
    </w:p>
    <w:p w14:paraId="5EB3C01D" w14:textId="77777777" w:rsidR="00476DF7" w:rsidRPr="00B13D4A" w:rsidRDefault="00476DF7" w:rsidP="00476DF7">
      <w:pPr>
        <w:rPr>
          <w:rFonts w:cstheme="minorHAnsi"/>
          <w:sz w:val="24"/>
          <w:szCs w:val="24"/>
        </w:rPr>
      </w:pPr>
      <w:r w:rsidRPr="00B13D4A">
        <w:rPr>
          <w:rFonts w:cstheme="minorHAnsi"/>
          <w:sz w:val="24"/>
          <w:szCs w:val="24"/>
        </w:rPr>
        <w:t>All parents of children starting primary school in their reception year are provided with information about the role of the service and the process for self-referral to access further information and advice.</w:t>
      </w:r>
    </w:p>
    <w:p w14:paraId="30DDEF74" w14:textId="77777777" w:rsidR="00476DF7" w:rsidRPr="00B13D4A" w:rsidRDefault="00476DF7" w:rsidP="00476DF7">
      <w:pPr>
        <w:rPr>
          <w:rFonts w:cstheme="minorHAnsi"/>
          <w:sz w:val="24"/>
          <w:szCs w:val="24"/>
        </w:rPr>
      </w:pPr>
      <w:r w:rsidRPr="00B13D4A">
        <w:rPr>
          <w:rFonts w:cstheme="minorHAnsi"/>
          <w:sz w:val="24"/>
          <w:szCs w:val="24"/>
        </w:rPr>
        <w:t xml:space="preserve">Children that have been identified by the Health Visiting Service as having additional health needs should have an active handover to the School Health Nursing Service, including a detailed transfer of care plan and review schedule, within the first term of children starting school. This includes a face to face handover between the health visitor and school nurse for those children and families most at risk. </w:t>
      </w:r>
    </w:p>
    <w:p w14:paraId="4D380397" w14:textId="77777777" w:rsidR="00476DF7" w:rsidRPr="00B13D4A" w:rsidRDefault="00476DF7" w:rsidP="00476DF7">
      <w:pPr>
        <w:autoSpaceDE w:val="0"/>
        <w:autoSpaceDN w:val="0"/>
        <w:rPr>
          <w:rFonts w:cstheme="minorHAnsi"/>
          <w:sz w:val="24"/>
          <w:szCs w:val="24"/>
        </w:rPr>
      </w:pPr>
      <w:r w:rsidRPr="00B13D4A">
        <w:rPr>
          <w:rFonts w:cstheme="minorHAnsi"/>
          <w:sz w:val="24"/>
          <w:szCs w:val="24"/>
        </w:rPr>
        <w:t>All children are weighed and measured by the School Health Nursing Service in their reception year as part of the National Child Measurement Programme (NCMP).</w:t>
      </w:r>
    </w:p>
    <w:p w14:paraId="78EE9883" w14:textId="77777777" w:rsidR="00476DF7" w:rsidRDefault="00476DF7" w:rsidP="00476DF7">
      <w:pPr>
        <w:pStyle w:val="Heading2"/>
        <w:rPr>
          <w:rFonts w:cstheme="minorHAnsi"/>
        </w:rPr>
      </w:pPr>
    </w:p>
    <w:p w14:paraId="745DBF90" w14:textId="77777777" w:rsidR="00476DF7" w:rsidRPr="003B5F7C" w:rsidRDefault="00476DF7" w:rsidP="00476DF7">
      <w:pPr>
        <w:pStyle w:val="Heading2"/>
        <w:spacing w:after="120"/>
        <w:rPr>
          <w:rFonts w:cstheme="minorHAnsi"/>
        </w:rPr>
      </w:pPr>
      <w:r w:rsidRPr="003B5F7C">
        <w:rPr>
          <w:rFonts w:cstheme="minorHAnsi"/>
        </w:rPr>
        <w:t>Children’s Centres</w:t>
      </w:r>
    </w:p>
    <w:p w14:paraId="4B8AFFC2" w14:textId="77777777" w:rsidR="00476DF7" w:rsidRPr="00B13D4A" w:rsidRDefault="00476DF7" w:rsidP="00476DF7">
      <w:pPr>
        <w:rPr>
          <w:rFonts w:cstheme="minorHAnsi"/>
          <w:sz w:val="24"/>
          <w:szCs w:val="24"/>
        </w:rPr>
      </w:pPr>
      <w:r w:rsidRPr="00B13D4A">
        <w:rPr>
          <w:rFonts w:cstheme="minorHAnsi"/>
          <w:sz w:val="24"/>
          <w:szCs w:val="24"/>
        </w:rPr>
        <w:t>Sandwell has 7 core children’s centres across the borough with one in each town and two in West Bromwich.  Core centres have a broad role:</w:t>
      </w:r>
    </w:p>
    <w:p w14:paraId="2E82867A"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Providing information and advice to parents about local services.</w:t>
      </w:r>
    </w:p>
    <w:p w14:paraId="606DB75B"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Running antenatal education classes in conjunction with midwives and health visitors.</w:t>
      </w:r>
    </w:p>
    <w:p w14:paraId="6C20115F"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Offering a venue for community-based midwife clinics.</w:t>
      </w:r>
    </w:p>
    <w:p w14:paraId="25475842"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Providing a venue for local Health Visitor clinics.</w:t>
      </w:r>
    </w:p>
    <w:p w14:paraId="3D11A170"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Offering a range of early years activities both in the children’s centres but also at other venues in the community.</w:t>
      </w:r>
    </w:p>
    <w:p w14:paraId="686B07C6"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Working with parents on the Play, Talk, Read programme which promotes the importance of early language development and home learning.</w:t>
      </w:r>
    </w:p>
    <w:p w14:paraId="6D1618B5"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Offering speech and language clinics for children and parents to identify delay and support language development.</w:t>
      </w:r>
    </w:p>
    <w:p w14:paraId="03BED989"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Provide parenting programmes at centres and other venues. The principal courses offered are Changes, the Solihull approach and Positive Parenting.</w:t>
      </w:r>
    </w:p>
    <w:p w14:paraId="4BAC00F6"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Offering a comprehensive support service for families who are experiencing problems on a range of issues.</w:t>
      </w:r>
    </w:p>
    <w:p w14:paraId="20ADACF1"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Centres work in conjunction with Sandwell Consortium to offer welfare rights advice and support to individual families with appointments at children’s centres.</w:t>
      </w:r>
    </w:p>
    <w:p w14:paraId="41D06FA5"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Supporting parents to take steps towards further education and employment when they are ready. Many parents as a first step put themselves forward as a volunteer for the service to gain valuable experience and training.</w:t>
      </w:r>
    </w:p>
    <w:p w14:paraId="7457DB77" w14:textId="77777777" w:rsidR="00476DF7" w:rsidRPr="00B13D4A" w:rsidRDefault="00476DF7" w:rsidP="00B13D4A">
      <w:pPr>
        <w:pStyle w:val="ListParagraph"/>
        <w:numPr>
          <w:ilvl w:val="0"/>
          <w:numId w:val="38"/>
        </w:numPr>
        <w:spacing w:line="259" w:lineRule="auto"/>
        <w:ind w:left="357" w:hanging="357"/>
        <w:contextualSpacing w:val="0"/>
        <w:rPr>
          <w:rFonts w:cstheme="minorHAnsi"/>
          <w:sz w:val="24"/>
          <w:szCs w:val="24"/>
        </w:rPr>
      </w:pPr>
      <w:r w:rsidRPr="00B13D4A">
        <w:rPr>
          <w:rFonts w:cstheme="minorHAnsi"/>
          <w:sz w:val="24"/>
          <w:szCs w:val="24"/>
        </w:rPr>
        <w:t>Many of the centres offer access to childcare services run by third party agencies on site.</w:t>
      </w:r>
    </w:p>
    <w:p w14:paraId="698B4BDB" w14:textId="77777777" w:rsidR="00476DF7" w:rsidRPr="00B13D4A" w:rsidRDefault="00476DF7" w:rsidP="00476DF7">
      <w:pPr>
        <w:rPr>
          <w:rFonts w:cstheme="minorHAnsi"/>
          <w:sz w:val="24"/>
          <w:szCs w:val="24"/>
        </w:rPr>
      </w:pPr>
    </w:p>
    <w:p w14:paraId="1FE9F27E" w14:textId="77777777" w:rsidR="00476DF7" w:rsidRPr="00B13D4A" w:rsidRDefault="00476DF7" w:rsidP="00476DF7">
      <w:pPr>
        <w:rPr>
          <w:rFonts w:cstheme="minorHAnsi"/>
          <w:sz w:val="24"/>
          <w:szCs w:val="24"/>
        </w:rPr>
      </w:pPr>
      <w:r w:rsidRPr="00B13D4A">
        <w:rPr>
          <w:rFonts w:cstheme="minorHAnsi"/>
          <w:sz w:val="24"/>
          <w:szCs w:val="24"/>
        </w:rPr>
        <w:t>The core centres in Rowley and Tipton are currently managed on behalf of the local authority by Murray Hall Community Trust, whilst those in Oldbury, Smethwick, Wednesbury and West Bromwich are currently managed on behalf of the local authority by Action for Children.</w:t>
      </w:r>
    </w:p>
    <w:p w14:paraId="6D088EC2" w14:textId="77777777" w:rsidR="00476DF7" w:rsidRPr="00B13D4A" w:rsidRDefault="00476DF7" w:rsidP="00476DF7">
      <w:pPr>
        <w:rPr>
          <w:sz w:val="24"/>
          <w:szCs w:val="24"/>
        </w:rPr>
      </w:pPr>
      <w:r w:rsidRPr="00B13D4A">
        <w:rPr>
          <w:rFonts w:cstheme="minorHAnsi"/>
          <w:sz w:val="24"/>
          <w:szCs w:val="24"/>
        </w:rPr>
        <w:t>There are other centres in the borough which largely provide childcare places for preschool children although some are also venues for other community activities.</w:t>
      </w:r>
    </w:p>
    <w:p w14:paraId="7C599126" w14:textId="77777777" w:rsidR="00476DF7" w:rsidRDefault="00476DF7" w:rsidP="00476DF7"/>
    <w:p w14:paraId="456F96FB" w14:textId="77777777" w:rsidR="00476DF7" w:rsidRPr="00EA7D56" w:rsidRDefault="00476DF7" w:rsidP="00476DF7">
      <w:pPr>
        <w:pStyle w:val="Heading2"/>
        <w:rPr>
          <w:rFonts w:cstheme="minorHAnsi"/>
          <w:color w:val="4472C4"/>
        </w:rPr>
      </w:pPr>
      <w:r w:rsidRPr="00EA7D56">
        <w:rPr>
          <w:rFonts w:cstheme="minorHAnsi"/>
        </w:rPr>
        <w:t xml:space="preserve">Inclusive Learning Services </w:t>
      </w:r>
    </w:p>
    <w:p w14:paraId="4B9B4B03" w14:textId="77777777" w:rsidR="00476DF7" w:rsidRPr="00B13D4A" w:rsidRDefault="00476DF7" w:rsidP="00B13D4A">
      <w:pPr>
        <w:pStyle w:val="ListParagraph"/>
        <w:numPr>
          <w:ilvl w:val="0"/>
          <w:numId w:val="31"/>
        </w:numPr>
        <w:spacing w:after="0" w:line="240" w:lineRule="auto"/>
        <w:rPr>
          <w:rFonts w:cstheme="minorHAnsi"/>
          <w:sz w:val="24"/>
          <w:szCs w:val="24"/>
        </w:rPr>
      </w:pPr>
      <w:r w:rsidRPr="00B13D4A">
        <w:rPr>
          <w:rFonts w:cstheme="minorHAnsi"/>
          <w:b/>
          <w:bCs/>
          <w:sz w:val="24"/>
          <w:szCs w:val="24"/>
        </w:rPr>
        <w:t>Inclusion Support Early Years (ISEY) and Child Development Centre (CDC)</w:t>
      </w:r>
    </w:p>
    <w:p w14:paraId="1F999EE3" w14:textId="77777777" w:rsidR="00476DF7" w:rsidRPr="00B13D4A" w:rsidRDefault="00476DF7" w:rsidP="00476DF7">
      <w:pPr>
        <w:spacing w:before="60" w:after="60"/>
        <w:rPr>
          <w:rFonts w:cstheme="minorHAnsi"/>
          <w:sz w:val="24"/>
          <w:szCs w:val="24"/>
        </w:rPr>
      </w:pPr>
      <w:bookmarkStart w:id="30" w:name="_Hlk26350428"/>
      <w:r w:rsidRPr="00B13D4A">
        <w:rPr>
          <w:rFonts w:cstheme="minorHAnsi"/>
          <w:sz w:val="24"/>
          <w:szCs w:val="24"/>
        </w:rPr>
        <w:t>This is a specialist service jointly commissioned with Health and Education, and is a multidisciplinary team providing a range of education and health services in the home, in the community and at the Coneygree Early Years Centre in Sandwell to children with Special Educational Needs and Disability (SEND). Paediatric Clinics, therapy sessions and specialist playgroups are held at the Coneygree Centre as part of the work of the Child Development Centre. An open referral pathway is operated, and support should commence within 4 weeks of referral - a waiting list is not held. The service provides a range of assessments, support and strategies to children 0-5 years who are not accessing a Local Authority Nursery or Reception class, who have difficulties with their cognitive development and at least one other area.</w:t>
      </w:r>
    </w:p>
    <w:p w14:paraId="63713A69" w14:textId="77777777" w:rsidR="00476DF7" w:rsidRPr="00B13D4A" w:rsidRDefault="00476DF7" w:rsidP="00476DF7">
      <w:pPr>
        <w:spacing w:before="60" w:after="60"/>
        <w:rPr>
          <w:rFonts w:cstheme="minorHAnsi"/>
          <w:sz w:val="24"/>
          <w:szCs w:val="24"/>
        </w:rPr>
      </w:pPr>
      <w:r w:rsidRPr="00B13D4A">
        <w:rPr>
          <w:rFonts w:cstheme="minorHAnsi"/>
          <w:sz w:val="24"/>
          <w:szCs w:val="24"/>
        </w:rPr>
        <w:t xml:space="preserve">Four areas of need are: </w:t>
      </w:r>
    </w:p>
    <w:p w14:paraId="09DAC715" w14:textId="77777777" w:rsidR="00476DF7" w:rsidRPr="00B13D4A" w:rsidRDefault="00476DF7" w:rsidP="00B13D4A">
      <w:pPr>
        <w:pStyle w:val="ListParagraph"/>
        <w:numPr>
          <w:ilvl w:val="0"/>
          <w:numId w:val="30"/>
        </w:numPr>
        <w:spacing w:before="60" w:after="60" w:line="240" w:lineRule="auto"/>
        <w:rPr>
          <w:rFonts w:cstheme="minorHAnsi"/>
          <w:sz w:val="24"/>
          <w:szCs w:val="24"/>
        </w:rPr>
      </w:pPr>
      <w:r w:rsidRPr="00B13D4A">
        <w:rPr>
          <w:rFonts w:cstheme="minorHAnsi"/>
          <w:sz w:val="24"/>
          <w:szCs w:val="24"/>
        </w:rPr>
        <w:t>Cognition and Learning (C&amp;L)</w:t>
      </w:r>
    </w:p>
    <w:p w14:paraId="29142A8D" w14:textId="77777777" w:rsidR="00476DF7" w:rsidRPr="00B13D4A" w:rsidRDefault="00476DF7" w:rsidP="00B13D4A">
      <w:pPr>
        <w:pStyle w:val="ListParagraph"/>
        <w:numPr>
          <w:ilvl w:val="0"/>
          <w:numId w:val="30"/>
        </w:numPr>
        <w:spacing w:before="60" w:after="60" w:line="240" w:lineRule="auto"/>
        <w:rPr>
          <w:rFonts w:cstheme="minorHAnsi"/>
          <w:sz w:val="24"/>
          <w:szCs w:val="24"/>
        </w:rPr>
      </w:pPr>
      <w:r w:rsidRPr="00B13D4A">
        <w:rPr>
          <w:rFonts w:cstheme="minorHAnsi"/>
          <w:sz w:val="24"/>
          <w:szCs w:val="24"/>
        </w:rPr>
        <w:t>Social, Emotional and Mental Health (SEMH)</w:t>
      </w:r>
    </w:p>
    <w:p w14:paraId="05B1265D" w14:textId="77777777" w:rsidR="00476DF7" w:rsidRPr="00B13D4A" w:rsidRDefault="00476DF7" w:rsidP="00B13D4A">
      <w:pPr>
        <w:pStyle w:val="ListParagraph"/>
        <w:numPr>
          <w:ilvl w:val="0"/>
          <w:numId w:val="30"/>
        </w:numPr>
        <w:spacing w:before="60" w:after="60" w:line="240" w:lineRule="auto"/>
        <w:rPr>
          <w:rFonts w:cstheme="minorHAnsi"/>
          <w:sz w:val="24"/>
          <w:szCs w:val="24"/>
        </w:rPr>
      </w:pPr>
      <w:r w:rsidRPr="00B13D4A">
        <w:rPr>
          <w:rFonts w:cstheme="minorHAnsi"/>
          <w:sz w:val="24"/>
          <w:szCs w:val="24"/>
        </w:rPr>
        <w:t>Physical Development to include Sensory Impairment (Hearing and/or Vision) (PD, HI, VI)</w:t>
      </w:r>
    </w:p>
    <w:p w14:paraId="781967AB" w14:textId="77777777" w:rsidR="00476DF7" w:rsidRPr="00B13D4A" w:rsidRDefault="00476DF7" w:rsidP="00B13D4A">
      <w:pPr>
        <w:pStyle w:val="ListParagraph"/>
        <w:numPr>
          <w:ilvl w:val="0"/>
          <w:numId w:val="30"/>
        </w:numPr>
        <w:spacing w:before="60" w:after="60" w:line="240" w:lineRule="auto"/>
        <w:rPr>
          <w:rFonts w:cstheme="minorHAnsi"/>
          <w:sz w:val="24"/>
          <w:szCs w:val="24"/>
        </w:rPr>
      </w:pPr>
      <w:r w:rsidRPr="00B13D4A">
        <w:rPr>
          <w:rFonts w:cstheme="minorHAnsi"/>
          <w:sz w:val="24"/>
          <w:szCs w:val="24"/>
        </w:rPr>
        <w:t xml:space="preserve">Speech, language and communication needs (SLCN) </w:t>
      </w:r>
    </w:p>
    <w:p w14:paraId="01AAF992" w14:textId="77777777" w:rsidR="00476DF7" w:rsidRPr="00B13D4A" w:rsidRDefault="00476DF7" w:rsidP="00476DF7">
      <w:pPr>
        <w:pStyle w:val="ListParagraph"/>
        <w:spacing w:before="60" w:after="60"/>
        <w:rPr>
          <w:rFonts w:cstheme="minorHAnsi"/>
          <w:sz w:val="24"/>
          <w:szCs w:val="24"/>
        </w:rPr>
      </w:pPr>
    </w:p>
    <w:p w14:paraId="1734FFA1" w14:textId="77777777" w:rsidR="00476DF7" w:rsidRPr="00B13D4A" w:rsidRDefault="00476DF7" w:rsidP="00476DF7">
      <w:pPr>
        <w:spacing w:before="60" w:after="60"/>
        <w:rPr>
          <w:rFonts w:cstheme="minorHAnsi"/>
          <w:sz w:val="24"/>
          <w:szCs w:val="24"/>
        </w:rPr>
      </w:pPr>
      <w:r w:rsidRPr="00B13D4A">
        <w:rPr>
          <w:rFonts w:cstheme="minorHAnsi"/>
          <w:sz w:val="24"/>
          <w:szCs w:val="24"/>
        </w:rPr>
        <w:t xml:space="preserve">Successful transition planning into school is an important aspect of the work, and 0-5 Children Adolescent, Mental Health Service (CAMHS) Counselling Psychology forms part of the early years work within the Multiagency Assessment of Autism (MAA) pathway. </w:t>
      </w:r>
    </w:p>
    <w:p w14:paraId="673F6FB2" w14:textId="77777777" w:rsidR="00476DF7" w:rsidRPr="00B13D4A" w:rsidRDefault="00476DF7" w:rsidP="00476DF7">
      <w:pPr>
        <w:spacing w:before="60" w:after="60"/>
        <w:rPr>
          <w:rFonts w:cstheme="minorHAnsi"/>
          <w:sz w:val="24"/>
          <w:szCs w:val="24"/>
        </w:rPr>
      </w:pPr>
    </w:p>
    <w:p w14:paraId="07ACF6F4" w14:textId="77777777" w:rsidR="00476DF7" w:rsidRPr="00B13D4A" w:rsidRDefault="00476DF7" w:rsidP="00476DF7">
      <w:pPr>
        <w:spacing w:before="60" w:after="60"/>
        <w:rPr>
          <w:rFonts w:cstheme="minorHAnsi"/>
          <w:sz w:val="24"/>
          <w:szCs w:val="24"/>
        </w:rPr>
      </w:pPr>
      <w:r w:rsidRPr="00B13D4A">
        <w:rPr>
          <w:rFonts w:cstheme="minorHAnsi"/>
          <w:sz w:val="24"/>
          <w:szCs w:val="24"/>
        </w:rPr>
        <w:t xml:space="preserve">The service provides Early Years Intervention Grant (EYIG) funding for children with SEND in early years settings where appropriate, and provides training to a wide range of early years providers such as Children Centres, early years childcare and nursery settings and schools. </w:t>
      </w:r>
    </w:p>
    <w:bookmarkEnd w:id="30"/>
    <w:p w14:paraId="118AA8B7" w14:textId="77777777" w:rsidR="00476DF7" w:rsidRPr="00B13D4A" w:rsidRDefault="00476DF7" w:rsidP="00476DF7">
      <w:pPr>
        <w:rPr>
          <w:rFonts w:cstheme="minorHAnsi"/>
          <w:b/>
          <w:sz w:val="24"/>
          <w:szCs w:val="24"/>
        </w:rPr>
      </w:pPr>
    </w:p>
    <w:p w14:paraId="0F771F31" w14:textId="77777777" w:rsidR="00476DF7" w:rsidRPr="00B13D4A" w:rsidRDefault="00476DF7" w:rsidP="00B13D4A">
      <w:pPr>
        <w:pStyle w:val="ListParagraph"/>
        <w:numPr>
          <w:ilvl w:val="0"/>
          <w:numId w:val="31"/>
        </w:numPr>
        <w:spacing w:after="0" w:line="240" w:lineRule="auto"/>
        <w:rPr>
          <w:rFonts w:cstheme="minorHAnsi"/>
          <w:b/>
          <w:sz w:val="24"/>
          <w:szCs w:val="24"/>
        </w:rPr>
      </w:pPr>
      <w:r w:rsidRPr="00B13D4A">
        <w:rPr>
          <w:rFonts w:cstheme="minorHAnsi"/>
          <w:b/>
          <w:sz w:val="24"/>
          <w:szCs w:val="24"/>
        </w:rPr>
        <w:t xml:space="preserve">Sensory Support Team </w:t>
      </w:r>
    </w:p>
    <w:p w14:paraId="67F462CE" w14:textId="77777777" w:rsidR="00476DF7" w:rsidRPr="00B13D4A" w:rsidRDefault="00476DF7" w:rsidP="00476DF7">
      <w:pPr>
        <w:spacing w:before="60" w:after="60"/>
        <w:rPr>
          <w:rFonts w:cstheme="minorHAnsi"/>
          <w:sz w:val="24"/>
          <w:szCs w:val="24"/>
        </w:rPr>
      </w:pPr>
      <w:r w:rsidRPr="00B13D4A">
        <w:rPr>
          <w:rFonts w:cstheme="minorHAnsi"/>
          <w:sz w:val="24"/>
          <w:szCs w:val="24"/>
        </w:rPr>
        <w:t xml:space="preserve">The Sensory Support Team work with children/young people and their families in Sandwell, who have a hearing or visual impairment. </w:t>
      </w:r>
    </w:p>
    <w:p w14:paraId="257F6808" w14:textId="77777777" w:rsidR="00476DF7" w:rsidRPr="00B13D4A" w:rsidRDefault="00476DF7" w:rsidP="00476DF7">
      <w:pPr>
        <w:rPr>
          <w:rFonts w:cstheme="minorHAnsi"/>
          <w:sz w:val="24"/>
          <w:szCs w:val="24"/>
        </w:rPr>
      </w:pPr>
      <w:r w:rsidRPr="00B13D4A">
        <w:rPr>
          <w:rFonts w:cstheme="minorHAnsi"/>
          <w:sz w:val="24"/>
          <w:szCs w:val="24"/>
        </w:rPr>
        <w:t xml:space="preserve">There is a statutory responsibility to provide specialist advice, support and teaching to children and young people with disabilities. The role of the service includes; giving advice, direct teaching, offering support, monitoring access/provision and training staff in settings. New born screening for hearing is carried out in line with other new born screening. When a baby fails the screening, consent is obtained by parent/carers to refer into the Sensory Support Team. Referral usually takes place the same day by telephone and followed up by a letter. The Sensory Support Team, who respond within 48 hours in line with best practice guidance [National Sensory Impairment Partnership (NATSIP)], arrange a visit at the family’s convenience to commence support. For other referrals which may require support during a child’s early years, a referral is made to Inclusion Support via an open referral pathway. Upon acceptance support should commence within 3 months. </w:t>
      </w:r>
    </w:p>
    <w:p w14:paraId="23C6C3AA" w14:textId="77777777" w:rsidR="00476DF7" w:rsidRPr="00B13D4A" w:rsidRDefault="00476DF7" w:rsidP="00476DF7">
      <w:pPr>
        <w:rPr>
          <w:rFonts w:cstheme="minorHAnsi"/>
          <w:b/>
          <w:sz w:val="24"/>
          <w:szCs w:val="24"/>
        </w:rPr>
      </w:pPr>
    </w:p>
    <w:p w14:paraId="1B4D128C" w14:textId="77777777" w:rsidR="00476DF7" w:rsidRPr="00B13D4A" w:rsidRDefault="00476DF7" w:rsidP="00B13D4A">
      <w:pPr>
        <w:pStyle w:val="ListParagraph"/>
        <w:numPr>
          <w:ilvl w:val="0"/>
          <w:numId w:val="31"/>
        </w:numPr>
        <w:spacing w:after="0" w:line="240" w:lineRule="auto"/>
        <w:rPr>
          <w:rFonts w:cstheme="minorHAnsi"/>
          <w:b/>
          <w:sz w:val="24"/>
          <w:szCs w:val="24"/>
        </w:rPr>
      </w:pPr>
      <w:r w:rsidRPr="00B13D4A">
        <w:rPr>
          <w:rFonts w:cstheme="minorHAnsi"/>
          <w:b/>
          <w:sz w:val="24"/>
          <w:szCs w:val="24"/>
        </w:rPr>
        <w:t xml:space="preserve">Educational and Child Psychologists </w:t>
      </w:r>
    </w:p>
    <w:p w14:paraId="76CD4AC4" w14:textId="77777777" w:rsidR="00476DF7" w:rsidRPr="00B13D4A" w:rsidRDefault="00476DF7" w:rsidP="00476DF7">
      <w:pPr>
        <w:spacing w:before="60" w:after="60"/>
        <w:rPr>
          <w:rFonts w:cstheme="minorHAnsi"/>
          <w:sz w:val="24"/>
          <w:szCs w:val="24"/>
        </w:rPr>
      </w:pPr>
      <w:r w:rsidRPr="00B13D4A">
        <w:rPr>
          <w:rFonts w:cstheme="minorHAnsi"/>
          <w:sz w:val="24"/>
          <w:szCs w:val="24"/>
        </w:rPr>
        <w:t>The Educational and Child Psychology Service has a statutory responsibility to provide specialist advice, assessment and support to children and Young People with SEND.</w:t>
      </w:r>
      <w:r w:rsidRPr="00B13D4A">
        <w:rPr>
          <w:rFonts w:eastAsia="Calibri" w:cstheme="minorHAnsi"/>
          <w:color w:val="000000"/>
          <w:sz w:val="24"/>
          <w:szCs w:val="24"/>
          <w:lang w:eastAsia="en-GB"/>
        </w:rPr>
        <w:t xml:space="preserve"> A referral is by consent from parents/carers. It can be made internally, by professionals within Inclusive Learning Services and schools. Upon acceptance support should commence within 3 months.</w:t>
      </w:r>
    </w:p>
    <w:p w14:paraId="3CBA2D1A" w14:textId="77777777" w:rsidR="00476DF7" w:rsidRPr="00B13D4A" w:rsidRDefault="00476DF7" w:rsidP="00476DF7">
      <w:pPr>
        <w:rPr>
          <w:rFonts w:cstheme="minorHAnsi"/>
          <w:b/>
          <w:sz w:val="24"/>
          <w:szCs w:val="24"/>
        </w:rPr>
      </w:pPr>
    </w:p>
    <w:p w14:paraId="4D610780" w14:textId="77777777" w:rsidR="00476DF7" w:rsidRPr="00B13D4A" w:rsidRDefault="00476DF7" w:rsidP="00B13D4A">
      <w:pPr>
        <w:pStyle w:val="ListParagraph"/>
        <w:numPr>
          <w:ilvl w:val="0"/>
          <w:numId w:val="31"/>
        </w:numPr>
        <w:spacing w:after="0" w:line="240" w:lineRule="auto"/>
        <w:rPr>
          <w:rFonts w:cstheme="minorHAnsi"/>
          <w:b/>
          <w:sz w:val="24"/>
          <w:szCs w:val="24"/>
        </w:rPr>
      </w:pPr>
      <w:r w:rsidRPr="00B13D4A">
        <w:rPr>
          <w:rFonts w:cstheme="minorHAnsi"/>
          <w:b/>
          <w:sz w:val="24"/>
          <w:szCs w:val="24"/>
        </w:rPr>
        <w:t xml:space="preserve">Social, Emotional and Mental Health Team </w:t>
      </w:r>
    </w:p>
    <w:p w14:paraId="1E69972A" w14:textId="77777777" w:rsidR="00476DF7" w:rsidRPr="00B13D4A" w:rsidRDefault="00476DF7" w:rsidP="00476DF7">
      <w:pPr>
        <w:spacing w:before="60" w:after="60"/>
        <w:rPr>
          <w:rFonts w:eastAsia="Calibri" w:cstheme="minorHAnsi"/>
          <w:color w:val="000000"/>
          <w:sz w:val="24"/>
          <w:szCs w:val="24"/>
          <w:lang w:eastAsia="en-GB"/>
        </w:rPr>
      </w:pPr>
      <w:r w:rsidRPr="00B13D4A">
        <w:rPr>
          <w:rFonts w:eastAsia="Calibri" w:cstheme="minorHAnsi"/>
          <w:color w:val="000000"/>
          <w:sz w:val="24"/>
          <w:szCs w:val="24"/>
          <w:lang w:eastAsia="en-GB"/>
        </w:rPr>
        <w:t xml:space="preserve">The </w:t>
      </w:r>
      <w:r w:rsidRPr="00B13D4A">
        <w:rPr>
          <w:rFonts w:cstheme="minorHAnsi"/>
          <w:sz w:val="24"/>
          <w:szCs w:val="24"/>
        </w:rPr>
        <w:t>Social, Emotional and Mental Health Team</w:t>
      </w:r>
      <w:r w:rsidRPr="00B13D4A">
        <w:rPr>
          <w:rFonts w:eastAsia="Calibri" w:cstheme="minorHAnsi"/>
          <w:color w:val="000000"/>
          <w:sz w:val="24"/>
          <w:szCs w:val="24"/>
          <w:lang w:eastAsia="en-GB"/>
        </w:rPr>
        <w:t xml:space="preserve"> provide advice and support to children and young people who present with SEMH difficulties in schools and Academies in Sandwell. They also offer training and support to schools and Academies, and liaise with Inclusion Support Early Years where children with SEMH needs have been identified, providing support following transition into school as required. A referral is by consent from parents/carers. It can be made internally, by professionals within Inclusive Learning Services and schools. Upon acceptance support should commence within 3 months.</w:t>
      </w:r>
    </w:p>
    <w:p w14:paraId="53D8DBAE" w14:textId="77777777" w:rsidR="00476DF7" w:rsidRPr="00B13D4A" w:rsidRDefault="00476DF7" w:rsidP="00476DF7">
      <w:pPr>
        <w:spacing w:before="60" w:after="60"/>
        <w:rPr>
          <w:rFonts w:eastAsia="Calibri" w:cstheme="minorHAnsi"/>
          <w:color w:val="000000"/>
          <w:sz w:val="24"/>
          <w:szCs w:val="24"/>
          <w:lang w:eastAsia="en-GB"/>
        </w:rPr>
      </w:pPr>
    </w:p>
    <w:p w14:paraId="41708F9B" w14:textId="77777777" w:rsidR="00476DF7" w:rsidRPr="00B13D4A" w:rsidRDefault="00476DF7" w:rsidP="00B13D4A">
      <w:pPr>
        <w:pStyle w:val="ListParagraph"/>
        <w:numPr>
          <w:ilvl w:val="0"/>
          <w:numId w:val="31"/>
        </w:numPr>
        <w:spacing w:after="0" w:line="240" w:lineRule="auto"/>
        <w:rPr>
          <w:rFonts w:cstheme="minorHAnsi"/>
          <w:b/>
          <w:sz w:val="24"/>
          <w:szCs w:val="24"/>
        </w:rPr>
      </w:pPr>
      <w:r w:rsidRPr="00B13D4A">
        <w:rPr>
          <w:rFonts w:cstheme="minorHAnsi"/>
          <w:b/>
          <w:sz w:val="24"/>
          <w:szCs w:val="24"/>
        </w:rPr>
        <w:t xml:space="preserve">Complex Communication and Autism Team </w:t>
      </w:r>
    </w:p>
    <w:p w14:paraId="16420EA5" w14:textId="77777777" w:rsidR="00476DF7" w:rsidRPr="00B13D4A" w:rsidRDefault="00476DF7" w:rsidP="00476DF7">
      <w:pPr>
        <w:spacing w:before="60" w:after="60"/>
        <w:rPr>
          <w:rFonts w:eastAsia="Calibri" w:cstheme="minorHAnsi"/>
          <w:color w:val="000000"/>
          <w:sz w:val="24"/>
          <w:szCs w:val="24"/>
          <w:lang w:eastAsia="en-GB"/>
        </w:rPr>
      </w:pPr>
      <w:r w:rsidRPr="00B13D4A">
        <w:rPr>
          <w:rFonts w:cstheme="minorHAnsi"/>
          <w:sz w:val="24"/>
          <w:szCs w:val="24"/>
        </w:rPr>
        <w:t xml:space="preserve">The Complex Communication and Autism Team provide advice and support to children and young people who attend schools and Academies in Sandwell. They also provide training to schools. The team are partners in the Autism Spectrum Disorder (ASD) Multi-Agency Assessment (MAA) process for children and young people who live in Sandwell aged up to 16, or 18 if they attend a school or Academy. </w:t>
      </w:r>
      <w:r w:rsidRPr="00B13D4A">
        <w:rPr>
          <w:rFonts w:eastAsia="Calibri" w:cstheme="minorHAnsi"/>
          <w:color w:val="000000"/>
          <w:sz w:val="24"/>
          <w:szCs w:val="24"/>
          <w:lang w:eastAsia="en-GB"/>
        </w:rPr>
        <w:t>A referral is by consent from parents/carers. It can be made internally, by professionals within Inclusive Learning Services and schools. Upon acceptance support should commence within 3 months.</w:t>
      </w:r>
    </w:p>
    <w:p w14:paraId="7F38818A" w14:textId="77777777" w:rsidR="00476DF7" w:rsidRPr="00B13D4A" w:rsidRDefault="00476DF7" w:rsidP="00476DF7">
      <w:pPr>
        <w:rPr>
          <w:rFonts w:cstheme="minorHAnsi"/>
          <w:b/>
          <w:sz w:val="24"/>
          <w:szCs w:val="24"/>
        </w:rPr>
      </w:pPr>
    </w:p>
    <w:p w14:paraId="35CE94C7" w14:textId="77777777" w:rsidR="00476DF7" w:rsidRPr="00B13D4A" w:rsidRDefault="00476DF7" w:rsidP="00B13D4A">
      <w:pPr>
        <w:pStyle w:val="ListParagraph"/>
        <w:numPr>
          <w:ilvl w:val="0"/>
          <w:numId w:val="31"/>
        </w:numPr>
        <w:spacing w:after="0" w:line="240" w:lineRule="auto"/>
        <w:rPr>
          <w:rFonts w:cstheme="minorHAnsi"/>
          <w:b/>
          <w:sz w:val="24"/>
          <w:szCs w:val="24"/>
        </w:rPr>
      </w:pPr>
      <w:r w:rsidRPr="00B13D4A">
        <w:rPr>
          <w:rFonts w:cstheme="minorHAnsi"/>
          <w:b/>
          <w:sz w:val="24"/>
          <w:szCs w:val="24"/>
        </w:rPr>
        <w:t xml:space="preserve">Advisory Teachers for Learning </w:t>
      </w:r>
    </w:p>
    <w:p w14:paraId="512E63B1" w14:textId="77777777" w:rsidR="00476DF7" w:rsidRPr="00B13D4A" w:rsidRDefault="00476DF7" w:rsidP="00476DF7">
      <w:pPr>
        <w:rPr>
          <w:rFonts w:cstheme="minorHAnsi"/>
          <w:sz w:val="24"/>
          <w:szCs w:val="24"/>
        </w:rPr>
      </w:pPr>
      <w:r w:rsidRPr="00B13D4A">
        <w:rPr>
          <w:rFonts w:cstheme="minorHAnsi"/>
          <w:sz w:val="24"/>
          <w:szCs w:val="24"/>
        </w:rPr>
        <w:t>Advisory Teachers for Learning</w:t>
      </w:r>
      <w:r w:rsidRPr="00B13D4A">
        <w:rPr>
          <w:rFonts w:cstheme="minorHAnsi"/>
          <w:b/>
          <w:sz w:val="24"/>
          <w:szCs w:val="24"/>
        </w:rPr>
        <w:t xml:space="preserve"> </w:t>
      </w:r>
      <w:r w:rsidRPr="00B13D4A">
        <w:rPr>
          <w:rFonts w:cstheme="minorHAnsi"/>
          <w:sz w:val="24"/>
          <w:szCs w:val="24"/>
        </w:rPr>
        <w:t>provide support for pupils and young people who attend Schools and Academies in Sandwell; supporting in a variety of ways including assessing the learning of pupils and young people identifying specific learning difficulties, delivering training advising school staff and other school strategic developments.</w:t>
      </w:r>
      <w:r w:rsidRPr="00B13D4A">
        <w:rPr>
          <w:rFonts w:eastAsia="Calibri" w:cstheme="minorHAnsi"/>
          <w:color w:val="000000"/>
          <w:sz w:val="24"/>
          <w:szCs w:val="24"/>
          <w:lang w:eastAsia="en-GB"/>
        </w:rPr>
        <w:t xml:space="preserve"> A referral is by consent from parents/ carers. It can be made internally, by professionals within Inclusive Learning Services and schools. Upon acceptance support should commence within 3 months.</w:t>
      </w:r>
      <w:r w:rsidRPr="00B13D4A">
        <w:rPr>
          <w:rFonts w:cstheme="minorHAnsi"/>
          <w:sz w:val="24"/>
          <w:szCs w:val="24"/>
        </w:rPr>
        <w:t xml:space="preserve">  </w:t>
      </w:r>
    </w:p>
    <w:p w14:paraId="7BB36F7D" w14:textId="77777777" w:rsidR="00476DF7" w:rsidRPr="00B13D4A" w:rsidRDefault="00476DF7" w:rsidP="00476DF7">
      <w:pPr>
        <w:rPr>
          <w:rFonts w:cstheme="minorHAnsi"/>
          <w:b/>
          <w:sz w:val="24"/>
          <w:szCs w:val="24"/>
        </w:rPr>
      </w:pPr>
    </w:p>
    <w:p w14:paraId="2DC907B8" w14:textId="77777777" w:rsidR="00476DF7" w:rsidRPr="00B13D4A" w:rsidRDefault="00476DF7" w:rsidP="00B13D4A">
      <w:pPr>
        <w:pStyle w:val="ListParagraph"/>
        <w:numPr>
          <w:ilvl w:val="0"/>
          <w:numId w:val="31"/>
        </w:numPr>
        <w:spacing w:after="0" w:line="240" w:lineRule="auto"/>
        <w:rPr>
          <w:rFonts w:cstheme="minorHAnsi"/>
          <w:b/>
          <w:sz w:val="24"/>
          <w:szCs w:val="24"/>
        </w:rPr>
      </w:pPr>
      <w:r w:rsidRPr="00B13D4A">
        <w:rPr>
          <w:rFonts w:cstheme="minorHAnsi"/>
          <w:b/>
          <w:sz w:val="24"/>
          <w:szCs w:val="24"/>
        </w:rPr>
        <w:t xml:space="preserve">Special Educational Needs Department </w:t>
      </w:r>
    </w:p>
    <w:p w14:paraId="1439FAAF" w14:textId="77777777" w:rsidR="00476DF7" w:rsidRPr="00B13D4A" w:rsidRDefault="00476DF7" w:rsidP="00476DF7">
      <w:pPr>
        <w:rPr>
          <w:rFonts w:cstheme="minorHAnsi"/>
          <w:bCs/>
          <w:i/>
          <w:iCs/>
          <w:sz w:val="24"/>
          <w:szCs w:val="24"/>
          <w:lang w:val="en" w:eastAsia="en-GB"/>
        </w:rPr>
      </w:pPr>
      <w:r w:rsidRPr="00B13D4A">
        <w:rPr>
          <w:rFonts w:cstheme="minorHAnsi"/>
          <w:sz w:val="24"/>
          <w:szCs w:val="24"/>
        </w:rPr>
        <w:t>The Statutory SEN Service are responsible for delivering some of the statutory responsibilities of Sandwell Local Authority in regard to special educational needs for children and young people aged 0 to 25. This includes, but is not limited to Education, Health and Care needs assessments and annual reviews.</w:t>
      </w:r>
      <w:r w:rsidRPr="00B13D4A">
        <w:rPr>
          <w:rFonts w:cstheme="minorHAnsi"/>
          <w:bCs/>
          <w:sz w:val="24"/>
          <w:szCs w:val="24"/>
          <w:lang w:val="en" w:eastAsia="en-GB"/>
        </w:rPr>
        <w:t xml:space="preserve"> </w:t>
      </w:r>
    </w:p>
    <w:p w14:paraId="0F52C114" w14:textId="77777777" w:rsidR="00476DF7" w:rsidRPr="00B13D4A" w:rsidRDefault="00476DF7" w:rsidP="00476DF7">
      <w:pPr>
        <w:rPr>
          <w:rFonts w:eastAsiaTheme="minorHAnsi" w:cstheme="minorHAnsi"/>
          <w:sz w:val="24"/>
          <w:szCs w:val="24"/>
          <w:lang w:val="en" w:eastAsia="en-GB"/>
        </w:rPr>
      </w:pPr>
      <w:r w:rsidRPr="00B13D4A">
        <w:rPr>
          <w:rFonts w:cstheme="minorHAnsi"/>
          <w:sz w:val="24"/>
          <w:szCs w:val="24"/>
          <w:lang w:val="en" w:eastAsia="en-GB"/>
        </w:rPr>
        <w:t>Local authorities (“</w:t>
      </w:r>
      <w:r w:rsidRPr="00B13D4A">
        <w:rPr>
          <w:rFonts w:cstheme="minorHAnsi"/>
          <w:b/>
          <w:bCs/>
          <w:sz w:val="24"/>
          <w:szCs w:val="24"/>
          <w:lang w:val="en" w:eastAsia="en-GB"/>
        </w:rPr>
        <w:t>LAs</w:t>
      </w:r>
      <w:r w:rsidRPr="00B13D4A">
        <w:rPr>
          <w:rFonts w:cstheme="minorHAnsi"/>
          <w:sz w:val="24"/>
          <w:szCs w:val="24"/>
          <w:lang w:val="en" w:eastAsia="en-GB"/>
        </w:rPr>
        <w:t>”) have legal duties to identify and assess the special educational needs (“</w:t>
      </w:r>
      <w:r w:rsidRPr="00B13D4A">
        <w:rPr>
          <w:rFonts w:cstheme="minorHAnsi"/>
          <w:b/>
          <w:bCs/>
          <w:sz w:val="24"/>
          <w:szCs w:val="24"/>
          <w:lang w:val="en" w:eastAsia="en-GB"/>
        </w:rPr>
        <w:t>SEN</w:t>
      </w:r>
      <w:r w:rsidRPr="00B13D4A">
        <w:rPr>
          <w:rFonts w:cstheme="minorHAnsi"/>
          <w:sz w:val="24"/>
          <w:szCs w:val="24"/>
          <w:lang w:val="en" w:eastAsia="en-GB"/>
        </w:rPr>
        <w:t>”) of children and young people for whom they are responsible. LAs become responsible for a child or young person in their area when they become aware that the child or young person has or may have SEN.</w:t>
      </w:r>
    </w:p>
    <w:p w14:paraId="74C5C3E6" w14:textId="77777777" w:rsidR="00476DF7" w:rsidRPr="00B13D4A" w:rsidRDefault="00476DF7" w:rsidP="00476DF7">
      <w:pPr>
        <w:spacing w:after="240"/>
        <w:rPr>
          <w:rFonts w:cstheme="minorHAnsi"/>
          <w:sz w:val="24"/>
          <w:szCs w:val="24"/>
          <w:lang w:val="en" w:eastAsia="en-GB"/>
        </w:rPr>
      </w:pPr>
      <w:r w:rsidRPr="00B13D4A">
        <w:rPr>
          <w:rFonts w:cstheme="minorHAnsi"/>
          <w:sz w:val="24"/>
          <w:szCs w:val="24"/>
          <w:lang w:val="en" w:eastAsia="en-GB"/>
        </w:rPr>
        <w:t>Under the Children and Families Act 2014, the LA must always think about how the child or young person can be supported to facilitate their development and to help them achieve the “</w:t>
      </w:r>
      <w:r w:rsidRPr="00B13D4A">
        <w:rPr>
          <w:rFonts w:cstheme="minorHAnsi"/>
          <w:b/>
          <w:bCs/>
          <w:i/>
          <w:iCs/>
          <w:sz w:val="24"/>
          <w:szCs w:val="24"/>
          <w:lang w:val="en" w:eastAsia="en-GB"/>
        </w:rPr>
        <w:t>best possible educational and other outcomes</w:t>
      </w:r>
      <w:r w:rsidRPr="00B13D4A">
        <w:rPr>
          <w:rFonts w:cstheme="minorHAnsi"/>
          <w:sz w:val="24"/>
          <w:szCs w:val="24"/>
          <w:lang w:val="en" w:eastAsia="en-GB"/>
        </w:rPr>
        <w:t>”.</w:t>
      </w:r>
    </w:p>
    <w:p w14:paraId="61F95221" w14:textId="77777777" w:rsidR="00476DF7" w:rsidRPr="00B13D4A" w:rsidRDefault="00476DF7" w:rsidP="00476DF7">
      <w:pPr>
        <w:spacing w:after="240"/>
        <w:rPr>
          <w:rFonts w:cstheme="minorHAnsi"/>
          <w:sz w:val="24"/>
          <w:szCs w:val="24"/>
          <w:lang w:val="en" w:eastAsia="en-GB"/>
        </w:rPr>
      </w:pPr>
      <w:r w:rsidRPr="00B13D4A">
        <w:rPr>
          <w:rFonts w:cstheme="minorHAnsi"/>
          <w:sz w:val="24"/>
          <w:szCs w:val="24"/>
          <w:lang w:val="en" w:eastAsia="en-GB"/>
        </w:rPr>
        <w:t>If a child is educated in an early years setting, a school or a post-16 institution, then that setting has duties to support that child – in particular, through SEN Support. If a child or young person needs, or may need, more support than their school or other setting can give them, then the LA must carry out an Education, Health and Care (EHC) Needs assessment. This assessment may lead to an EHC plan being produced for them. An EHC plan will set out the additional support the child or young person needs and the school or other institution they will go to.</w:t>
      </w:r>
    </w:p>
    <w:p w14:paraId="34D09454" w14:textId="77777777" w:rsidR="00476DF7" w:rsidRPr="00B13D4A" w:rsidRDefault="00476DF7" w:rsidP="00476DF7">
      <w:pPr>
        <w:spacing w:after="240"/>
        <w:rPr>
          <w:rFonts w:cstheme="minorHAnsi"/>
          <w:sz w:val="24"/>
          <w:szCs w:val="24"/>
          <w:lang w:val="en" w:eastAsia="en-GB"/>
        </w:rPr>
      </w:pPr>
      <w:r w:rsidRPr="00B13D4A">
        <w:rPr>
          <w:rFonts w:cstheme="minorHAnsi"/>
          <w:sz w:val="24"/>
          <w:szCs w:val="24"/>
          <w:lang w:val="en" w:eastAsia="en-GB"/>
        </w:rPr>
        <w:t xml:space="preserve">Once special educational provision has been specified in an EHC plan, the LA has a </w:t>
      </w:r>
      <w:r w:rsidRPr="00B13D4A">
        <w:rPr>
          <w:rFonts w:cstheme="minorHAnsi"/>
          <w:b/>
          <w:bCs/>
          <w:sz w:val="24"/>
          <w:szCs w:val="24"/>
          <w:lang w:val="en" w:eastAsia="en-GB"/>
        </w:rPr>
        <w:t>legal duty to provide it</w:t>
      </w:r>
      <w:r w:rsidRPr="00B13D4A">
        <w:rPr>
          <w:rFonts w:cstheme="minorHAnsi"/>
          <w:sz w:val="24"/>
          <w:szCs w:val="24"/>
          <w:lang w:val="en" w:eastAsia="en-GB"/>
        </w:rPr>
        <w:t>. This cannot be overruled by the LA’s SEN funding policy or other internal funding arrangements.</w:t>
      </w:r>
    </w:p>
    <w:p w14:paraId="7C9A3C07" w14:textId="77777777" w:rsidR="00B13D4A" w:rsidRDefault="00B13D4A" w:rsidP="00476DF7">
      <w:pPr>
        <w:pStyle w:val="Heading2"/>
        <w:rPr>
          <w:rFonts w:cstheme="minorHAnsi"/>
        </w:rPr>
      </w:pPr>
    </w:p>
    <w:p w14:paraId="40D73A46" w14:textId="6316CBED" w:rsidR="00476DF7" w:rsidRPr="00EA7D56" w:rsidRDefault="00476DF7" w:rsidP="00476DF7">
      <w:pPr>
        <w:pStyle w:val="Heading2"/>
        <w:rPr>
          <w:rFonts w:cstheme="minorHAnsi"/>
        </w:rPr>
      </w:pPr>
      <w:r w:rsidRPr="00EA7D56">
        <w:rPr>
          <w:rFonts w:cstheme="minorHAnsi"/>
        </w:rPr>
        <w:t>Sandwell Library Service</w:t>
      </w:r>
    </w:p>
    <w:p w14:paraId="7F1384AF" w14:textId="77777777" w:rsidR="00476DF7" w:rsidRPr="00B13D4A" w:rsidRDefault="00476DF7" w:rsidP="00476DF7">
      <w:pPr>
        <w:rPr>
          <w:rFonts w:cstheme="minorHAnsi"/>
          <w:sz w:val="24"/>
          <w:szCs w:val="24"/>
          <w:lang w:val="en" w:eastAsia="en-GB"/>
        </w:rPr>
      </w:pPr>
      <w:r w:rsidRPr="00B13D4A">
        <w:rPr>
          <w:rFonts w:cstheme="minorHAnsi"/>
          <w:sz w:val="24"/>
          <w:szCs w:val="24"/>
          <w:lang w:val="en" w:eastAsia="en-GB"/>
        </w:rPr>
        <w:t>Libraries are safe, accessible, conveniently located community hubs with a strong family and community focus. They offer opportunities for learning and improving health and wellbeing, give access to creative arts and heritage, and support the local economy.</w:t>
      </w:r>
    </w:p>
    <w:p w14:paraId="2AD61966" w14:textId="77777777" w:rsidR="00476DF7" w:rsidRPr="00B13D4A" w:rsidRDefault="00476DF7" w:rsidP="00B13D4A">
      <w:pPr>
        <w:numPr>
          <w:ilvl w:val="0"/>
          <w:numId w:val="32"/>
        </w:numPr>
        <w:spacing w:line="252" w:lineRule="auto"/>
        <w:rPr>
          <w:rFonts w:cstheme="minorHAnsi"/>
          <w:sz w:val="24"/>
          <w:szCs w:val="24"/>
          <w:lang w:val="en" w:eastAsia="en-GB"/>
        </w:rPr>
      </w:pPr>
      <w:r w:rsidRPr="00B13D4A">
        <w:rPr>
          <w:rFonts w:cstheme="minorHAnsi"/>
          <w:sz w:val="24"/>
          <w:szCs w:val="24"/>
          <w:lang w:val="en" w:eastAsia="en-GB"/>
        </w:rPr>
        <w:t>Libraries provide spaces for formal and informal learning, and offer opportunities to improve life skills through volunteering, work experience and apprenticeships. They support digital inclusion and work innovatively with partners to deliver service transformation.</w:t>
      </w:r>
    </w:p>
    <w:p w14:paraId="72992037" w14:textId="77777777" w:rsidR="00476DF7" w:rsidRPr="00B13D4A" w:rsidRDefault="00476DF7" w:rsidP="00B13D4A">
      <w:pPr>
        <w:numPr>
          <w:ilvl w:val="0"/>
          <w:numId w:val="32"/>
        </w:numPr>
        <w:spacing w:line="252" w:lineRule="auto"/>
        <w:rPr>
          <w:rFonts w:cstheme="minorHAnsi"/>
          <w:sz w:val="24"/>
          <w:szCs w:val="24"/>
          <w:lang w:val="en" w:eastAsia="en-GB"/>
        </w:rPr>
      </w:pPr>
      <w:r w:rsidRPr="00B13D4A">
        <w:rPr>
          <w:rFonts w:cstheme="minorHAnsi"/>
          <w:sz w:val="24"/>
          <w:szCs w:val="24"/>
          <w:lang w:val="en" w:eastAsia="en-GB"/>
        </w:rPr>
        <w:t>Libraries are safe community hubs at the heart of their communities and are used by all sections of those communities. They provide family activities and creative arts that bring different groups together. They support social cohesion and preserve and celebrate the diverse heritage and distinctiveness of Sandwell’s towns and neighbourhoods.</w:t>
      </w:r>
    </w:p>
    <w:p w14:paraId="7775C6BA" w14:textId="77777777" w:rsidR="00476DF7" w:rsidRPr="00B13D4A" w:rsidRDefault="00476DF7" w:rsidP="00B13D4A">
      <w:pPr>
        <w:numPr>
          <w:ilvl w:val="0"/>
          <w:numId w:val="32"/>
        </w:numPr>
        <w:spacing w:line="252" w:lineRule="auto"/>
        <w:rPr>
          <w:rFonts w:cstheme="minorHAnsi"/>
          <w:sz w:val="24"/>
          <w:szCs w:val="24"/>
          <w:lang w:val="en" w:eastAsia="en-GB"/>
        </w:rPr>
      </w:pPr>
      <w:r w:rsidRPr="00B13D4A">
        <w:rPr>
          <w:rFonts w:cstheme="minorHAnsi"/>
          <w:sz w:val="24"/>
          <w:szCs w:val="24"/>
          <w:lang w:val="en" w:eastAsia="en-GB"/>
        </w:rPr>
        <w:t>Libraries work in partnership with health providers to deliver services, resources, and activities that improve health and wellbeing.</w:t>
      </w:r>
    </w:p>
    <w:p w14:paraId="7C55CB5F" w14:textId="77777777" w:rsidR="00476DF7" w:rsidRPr="00B13D4A" w:rsidRDefault="00476DF7" w:rsidP="00B13D4A">
      <w:pPr>
        <w:numPr>
          <w:ilvl w:val="0"/>
          <w:numId w:val="32"/>
        </w:numPr>
        <w:spacing w:line="252" w:lineRule="auto"/>
        <w:rPr>
          <w:rFonts w:cstheme="minorHAnsi"/>
          <w:sz w:val="24"/>
          <w:szCs w:val="24"/>
          <w:lang w:val="en" w:eastAsia="en-GB"/>
        </w:rPr>
      </w:pPr>
      <w:r w:rsidRPr="00B13D4A">
        <w:rPr>
          <w:rFonts w:cstheme="minorHAnsi"/>
          <w:sz w:val="24"/>
          <w:szCs w:val="24"/>
          <w:lang w:val="en" w:eastAsia="en-GB"/>
        </w:rPr>
        <w:t>Libraries are accessible to all, conveniently located, delivering free or low-cost services. They promote reading for pleasure as an essential skill to improve life chances and work closely with parents and schools to offer services and activities that support the curriculum and improve literacy levels.</w:t>
      </w:r>
    </w:p>
    <w:p w14:paraId="0267FAD2" w14:textId="77777777" w:rsidR="00476DF7" w:rsidRPr="009A05AB" w:rsidRDefault="00476DF7" w:rsidP="00476DF7">
      <w:pPr>
        <w:rPr>
          <w:rFonts w:eastAsiaTheme="minorHAnsi" w:cstheme="minorHAnsi"/>
          <w:lang w:val="en" w:eastAsia="en-GB"/>
        </w:rPr>
      </w:pPr>
    </w:p>
    <w:p w14:paraId="6A0DEEC7" w14:textId="77777777" w:rsidR="00476DF7" w:rsidRPr="00B13D4A" w:rsidRDefault="00476DF7" w:rsidP="00476DF7">
      <w:pPr>
        <w:rPr>
          <w:rFonts w:cstheme="minorHAnsi"/>
          <w:sz w:val="24"/>
          <w:szCs w:val="24"/>
          <w:lang w:val="en" w:eastAsia="en-GB"/>
        </w:rPr>
      </w:pPr>
      <w:r w:rsidRPr="00B13D4A">
        <w:rPr>
          <w:rFonts w:cstheme="minorHAnsi"/>
          <w:sz w:val="24"/>
          <w:szCs w:val="24"/>
          <w:lang w:val="en" w:eastAsia="en-GB"/>
        </w:rPr>
        <w:t xml:space="preserve">Libraries support the child’s journey from pre-natal to birth, preschool to primary school and the transition beyond. They do this by: </w:t>
      </w:r>
    </w:p>
    <w:p w14:paraId="338E33BE" w14:textId="77777777" w:rsidR="00476DF7" w:rsidRPr="00B13D4A" w:rsidRDefault="00476DF7" w:rsidP="00B13D4A">
      <w:pPr>
        <w:pStyle w:val="ListParagraph"/>
        <w:numPr>
          <w:ilvl w:val="0"/>
          <w:numId w:val="33"/>
        </w:numPr>
        <w:spacing w:line="240" w:lineRule="auto"/>
        <w:rPr>
          <w:rFonts w:cstheme="minorHAnsi"/>
          <w:sz w:val="24"/>
          <w:szCs w:val="24"/>
          <w:lang w:val="en" w:eastAsia="en-GB"/>
        </w:rPr>
      </w:pPr>
      <w:r w:rsidRPr="00B13D4A">
        <w:rPr>
          <w:rFonts w:cstheme="minorHAnsi"/>
          <w:sz w:val="24"/>
          <w:szCs w:val="24"/>
          <w:lang w:val="en" w:eastAsia="en-GB"/>
        </w:rPr>
        <w:t>Engaging with children both in school/nursery (through regular class/nursery visits) and out of school. They host regular Under 5’s activities which are free of charge. Through regular Storytime activities, they inspire parents to read and rhyme with their child.</w:t>
      </w:r>
    </w:p>
    <w:p w14:paraId="7163DCA2" w14:textId="77777777" w:rsidR="00476DF7" w:rsidRPr="00B13D4A" w:rsidRDefault="00476DF7" w:rsidP="00B13D4A">
      <w:pPr>
        <w:pStyle w:val="ListParagraph"/>
        <w:numPr>
          <w:ilvl w:val="0"/>
          <w:numId w:val="33"/>
        </w:numPr>
        <w:spacing w:line="240" w:lineRule="auto"/>
        <w:rPr>
          <w:rFonts w:cstheme="minorHAnsi"/>
          <w:sz w:val="24"/>
          <w:szCs w:val="24"/>
          <w:lang w:val="en" w:eastAsia="en-GB"/>
        </w:rPr>
      </w:pPr>
      <w:r w:rsidRPr="00B13D4A">
        <w:rPr>
          <w:rFonts w:cstheme="minorHAnsi"/>
          <w:sz w:val="24"/>
          <w:szCs w:val="24"/>
          <w:lang w:val="en" w:eastAsia="en-GB"/>
        </w:rPr>
        <w:t xml:space="preserve">Libraries co-ordinate and gift free Bookstart packs to every child between 0-12 months and 3-4 years. Libraries do this through working in partnership with health visitors, speech and language therapists, schools and nurseries. </w:t>
      </w:r>
      <w:r w:rsidRPr="00B13D4A">
        <w:rPr>
          <w:rFonts w:cstheme="minorHAnsi"/>
          <w:sz w:val="24"/>
          <w:szCs w:val="24"/>
          <w:lang w:val="en" w:eastAsia="en-GB"/>
        </w:rPr>
        <w:br/>
      </w:r>
      <w:r w:rsidRPr="00B13D4A">
        <w:rPr>
          <w:rFonts w:cstheme="minorHAnsi"/>
          <w:sz w:val="24"/>
          <w:szCs w:val="24"/>
          <w:lang w:val="en" w:eastAsia="en-GB"/>
        </w:rPr>
        <w:br/>
        <w:t xml:space="preserve">Bookstart aims to encourage a love of books, stories and rhymes in children (from newborn+). Bookstart packs come in various formats; Newborn and Baby (0-12 months); Treasure (3-4 years); Dual Language; and Additional needs packs (which includes Bookshine for children who are deaf, Booktouch for children who are blind or partially sighted, and Bookstart Star for children with conditions affecting their fine motor skills). Through the Bookstart scheme: </w:t>
      </w:r>
    </w:p>
    <w:p w14:paraId="1F14202D" w14:textId="77777777" w:rsidR="00476DF7" w:rsidRPr="00B13D4A" w:rsidRDefault="00476DF7" w:rsidP="00B13D4A">
      <w:pPr>
        <w:numPr>
          <w:ilvl w:val="0"/>
          <w:numId w:val="34"/>
        </w:numPr>
        <w:spacing w:line="252" w:lineRule="auto"/>
        <w:rPr>
          <w:rFonts w:cstheme="minorHAnsi"/>
          <w:sz w:val="24"/>
          <w:szCs w:val="24"/>
          <w:lang w:val="en" w:eastAsia="en-GB"/>
        </w:rPr>
      </w:pPr>
      <w:r w:rsidRPr="00B13D4A">
        <w:rPr>
          <w:rFonts w:cstheme="minorHAnsi"/>
          <w:sz w:val="24"/>
          <w:szCs w:val="24"/>
          <w:lang w:val="en" w:eastAsia="en-GB"/>
        </w:rPr>
        <w:t>Libraries increase parental involvement in their child’s reader development.</w:t>
      </w:r>
    </w:p>
    <w:p w14:paraId="6223126C" w14:textId="77777777" w:rsidR="00476DF7" w:rsidRPr="00B13D4A" w:rsidRDefault="00476DF7" w:rsidP="00B13D4A">
      <w:pPr>
        <w:numPr>
          <w:ilvl w:val="0"/>
          <w:numId w:val="34"/>
        </w:numPr>
        <w:spacing w:line="252" w:lineRule="auto"/>
        <w:rPr>
          <w:rFonts w:cstheme="minorHAnsi"/>
          <w:sz w:val="24"/>
          <w:szCs w:val="24"/>
          <w:lang w:val="en" w:eastAsia="en-GB"/>
        </w:rPr>
      </w:pPr>
      <w:r w:rsidRPr="00B13D4A">
        <w:rPr>
          <w:rFonts w:cstheme="minorHAnsi"/>
          <w:sz w:val="24"/>
          <w:szCs w:val="24"/>
          <w:lang w:val="en" w:eastAsia="en-GB"/>
        </w:rPr>
        <w:t>Support language / communication development, early literacy and school readiness.</w:t>
      </w:r>
    </w:p>
    <w:p w14:paraId="76869C49" w14:textId="7C1ACB52" w:rsidR="00C31EB1" w:rsidRDefault="00476DF7" w:rsidP="00B13D4A">
      <w:pPr>
        <w:numPr>
          <w:ilvl w:val="0"/>
          <w:numId w:val="34"/>
        </w:numPr>
        <w:spacing w:line="252" w:lineRule="auto"/>
        <w:rPr>
          <w:rFonts w:cstheme="minorHAnsi"/>
          <w:sz w:val="24"/>
          <w:szCs w:val="24"/>
        </w:rPr>
      </w:pPr>
      <w:r w:rsidRPr="00B13D4A">
        <w:rPr>
          <w:rFonts w:cstheme="minorHAnsi"/>
          <w:sz w:val="24"/>
          <w:szCs w:val="24"/>
          <w:lang w:val="en" w:eastAsia="en-GB"/>
        </w:rPr>
        <w:t>Build children’s resilience and character - s</w:t>
      </w:r>
      <w:r w:rsidRPr="00B13D4A">
        <w:rPr>
          <w:rFonts w:cstheme="minorHAnsi"/>
          <w:sz w:val="24"/>
          <w:szCs w:val="24"/>
        </w:rPr>
        <w:t>upporting attachment, resilience, emotional health and wellbeing.</w:t>
      </w:r>
    </w:p>
    <w:p w14:paraId="2AF7131C" w14:textId="77777777" w:rsidR="00C31EB1" w:rsidRDefault="00C31EB1">
      <w:pPr>
        <w:spacing w:after="160" w:line="259" w:lineRule="auto"/>
        <w:rPr>
          <w:rFonts w:cstheme="minorHAnsi"/>
          <w:sz w:val="24"/>
          <w:szCs w:val="24"/>
        </w:rPr>
      </w:pPr>
      <w:r>
        <w:rPr>
          <w:rFonts w:cstheme="minorHAnsi"/>
          <w:sz w:val="24"/>
          <w:szCs w:val="24"/>
        </w:rPr>
        <w:br w:type="page"/>
      </w:r>
    </w:p>
    <w:p w14:paraId="61C5CB72" w14:textId="289E84EB" w:rsidR="00476DF7" w:rsidRDefault="00C31EB1" w:rsidP="00C31EB1">
      <w:pPr>
        <w:pStyle w:val="Heading1"/>
        <w:rPr>
          <w:lang w:val="en" w:eastAsia="en-GB"/>
        </w:rPr>
      </w:pPr>
      <w:r>
        <w:rPr>
          <w:lang w:val="en" w:eastAsia="en-GB"/>
        </w:rPr>
        <w:t>Recommendations</w:t>
      </w:r>
    </w:p>
    <w:p w14:paraId="1672ACBD" w14:textId="77777777" w:rsidR="00863E67" w:rsidRPr="00FE1017" w:rsidRDefault="00863E67" w:rsidP="00863E67">
      <w:pPr>
        <w:pStyle w:val="Heading2"/>
      </w:pPr>
      <w:r w:rsidRPr="00FE1017">
        <w:t>Preconception and Pregnancy</w:t>
      </w:r>
    </w:p>
    <w:p w14:paraId="48597A0B"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Develop an overarching strategy for preconception, maternity and early years interventions and services, in order to improve outcomes and reduce inequalities, with a focus on the first 1001 days of a child’s life.</w:t>
      </w:r>
    </w:p>
    <w:p w14:paraId="2BABD85B"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 xml:space="preserve">Promoting maternal health in the preconceptual period, ensuring that healthy pregnancy advice is delivered through targeted Primary Care clinics, Contraceptive Services, Health Visiting and promoted via all media channels. This should include advice about nutrition and exercise, substance misuse, sexual health, mental health and wellbeing, vaccinations, medical and hereditary conditions. </w:t>
      </w:r>
    </w:p>
    <w:p w14:paraId="7A97E529"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Promote the importance of planned and spaced pregnancies, in particular improving access to contraception for young and/or vulnerable women or families where there are safeguarding concerns.</w:t>
      </w:r>
    </w:p>
    <w:p w14:paraId="303F4863"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 xml:space="preserve">Ensure women with existing medical needs are supported and advised throughout their care on how to prepare for future pregnancy. </w:t>
      </w:r>
    </w:p>
    <w:p w14:paraId="06C8C66D"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Promoting and supporting early access to maternity care by developing a self-referral system for families to book directly.</w:t>
      </w:r>
    </w:p>
    <w:p w14:paraId="5F70E983"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Ensure that maternity advice and provision is accessible and appropriate to meet the needs of non-UK mothers and mothers from BAME communities who are at higher risk of poor pregnancy outcomes, taking into account differences in language and levels of health literacy.</w:t>
      </w:r>
    </w:p>
    <w:p w14:paraId="09BB1CFC"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Improve consistency of CO monitoring in the maternity and post-natal pathways, making sure that we are doing everything possible to make it easy for pregnant women and their families to give up smoking and reduce tobacco exposure in the home. (Saving Babies Lives 2)</w:t>
      </w:r>
    </w:p>
    <w:p w14:paraId="6A53B394"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Improve brief advice and referral for alcohol and substance misuse during pregnancy, taking into account both the clinical and safeguarding risks involved.</w:t>
      </w:r>
    </w:p>
    <w:p w14:paraId="281D3246"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Provide tailored support for teenage mothers and their partners in line with best practice guidance.</w:t>
      </w:r>
    </w:p>
    <w:p w14:paraId="031E646D"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Support families to prepare for the emotional and practical demands of parenthood.</w:t>
      </w:r>
    </w:p>
    <w:p w14:paraId="3FFF5787"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Review interventions, pathways, and services to promote maternal wellbeing and mental health, including access to community-level support to reduce social isolation.</w:t>
      </w:r>
    </w:p>
    <w:p w14:paraId="41CDBD26"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Develop pathways that link families to support and services that help with welfare benefits, housing, immigration, food poverty, education and employment etc.</w:t>
      </w:r>
    </w:p>
    <w:p w14:paraId="0CDE22E4"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Continue with implementation of ‘Saving Babies Lives’ in order to reduce risk of poor perinatal outcomes as part of the Local Maternity Strategy.</w:t>
      </w:r>
    </w:p>
    <w:p w14:paraId="40ED2E44" w14:textId="77777777"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Undertake detailed local analysis of Infant Mortality data in order to better understand drivers behind Sandwell’s high rates and where we need to focus our resources and improve services and practice.</w:t>
      </w:r>
    </w:p>
    <w:p w14:paraId="6614AB56" w14:textId="43E5BC3D" w:rsidR="00863E67" w:rsidRPr="00863E67" w:rsidRDefault="00863E67" w:rsidP="00863E67">
      <w:pPr>
        <w:pStyle w:val="ListParagraph"/>
        <w:numPr>
          <w:ilvl w:val="0"/>
          <w:numId w:val="42"/>
        </w:numPr>
        <w:spacing w:line="259" w:lineRule="auto"/>
        <w:contextualSpacing w:val="0"/>
        <w:rPr>
          <w:sz w:val="24"/>
          <w:szCs w:val="24"/>
        </w:rPr>
      </w:pPr>
      <w:r w:rsidRPr="00863E67">
        <w:rPr>
          <w:sz w:val="24"/>
          <w:szCs w:val="24"/>
        </w:rPr>
        <w:t>All services to move beyond ‘advice-giving’ to develop more psychologically-informed approaches to promoting health lifestyles and safe parenting practices.</w:t>
      </w:r>
    </w:p>
    <w:p w14:paraId="41FDEAC4" w14:textId="5F733DA2" w:rsidR="00863E67" w:rsidRPr="00863E67" w:rsidRDefault="00863E67" w:rsidP="00863E67">
      <w:pPr>
        <w:pStyle w:val="Heading2"/>
      </w:pPr>
      <w:r>
        <w:br/>
      </w:r>
      <w:r w:rsidRPr="00863E67">
        <w:t>Early Years</w:t>
      </w:r>
    </w:p>
    <w:p w14:paraId="452449F4" w14:textId="77777777" w:rsidR="00863E67" w:rsidRPr="00863E67" w:rsidRDefault="00863E67" w:rsidP="00863E67">
      <w:pPr>
        <w:pStyle w:val="ListParagraph"/>
        <w:numPr>
          <w:ilvl w:val="0"/>
          <w:numId w:val="45"/>
        </w:numPr>
        <w:spacing w:line="259" w:lineRule="auto"/>
        <w:contextualSpacing w:val="0"/>
        <w:rPr>
          <w:sz w:val="24"/>
          <w:szCs w:val="24"/>
        </w:rPr>
      </w:pPr>
      <w:r w:rsidRPr="00863E67">
        <w:rPr>
          <w:sz w:val="24"/>
          <w:szCs w:val="24"/>
        </w:rPr>
        <w:t>Review changing needs and current and future provision of childcare and early years education in the light of the impact of COVID-19.</w:t>
      </w:r>
    </w:p>
    <w:p w14:paraId="1C35ECEF" w14:textId="77777777" w:rsidR="00863E67" w:rsidRPr="00863E67" w:rsidRDefault="00863E67" w:rsidP="00863E67">
      <w:pPr>
        <w:pStyle w:val="ListParagraph"/>
        <w:numPr>
          <w:ilvl w:val="0"/>
          <w:numId w:val="43"/>
        </w:numPr>
        <w:spacing w:line="259" w:lineRule="auto"/>
        <w:contextualSpacing w:val="0"/>
        <w:rPr>
          <w:sz w:val="24"/>
          <w:szCs w:val="24"/>
        </w:rPr>
      </w:pPr>
      <w:r w:rsidRPr="00863E67">
        <w:rPr>
          <w:sz w:val="24"/>
          <w:szCs w:val="24"/>
        </w:rPr>
        <w:t>Continue to promote breastfeeding and improve the rate of breastfeeding at 6 to 8 weeks.</w:t>
      </w:r>
    </w:p>
    <w:p w14:paraId="5BCF57C0" w14:textId="77777777" w:rsidR="00863E67" w:rsidRPr="00863E67" w:rsidRDefault="00863E67" w:rsidP="00863E67">
      <w:pPr>
        <w:pStyle w:val="ListParagraph"/>
        <w:numPr>
          <w:ilvl w:val="0"/>
          <w:numId w:val="43"/>
        </w:numPr>
        <w:spacing w:line="259" w:lineRule="auto"/>
        <w:contextualSpacing w:val="0"/>
        <w:rPr>
          <w:sz w:val="24"/>
          <w:szCs w:val="24"/>
        </w:rPr>
      </w:pPr>
      <w:r w:rsidRPr="00863E67">
        <w:rPr>
          <w:sz w:val="24"/>
          <w:szCs w:val="24"/>
        </w:rPr>
        <w:t>Monitor A&amp;E attendances and admissions for 0-4 year olds. Encourage parents to avoid unnecessary attendances by making more appropriate use of Primary Care services.</w:t>
      </w:r>
    </w:p>
    <w:p w14:paraId="3C66532B" w14:textId="77777777" w:rsidR="00863E67" w:rsidRPr="00863E67" w:rsidRDefault="00863E67" w:rsidP="00863E67">
      <w:pPr>
        <w:pStyle w:val="ListParagraph"/>
        <w:numPr>
          <w:ilvl w:val="0"/>
          <w:numId w:val="43"/>
        </w:numPr>
        <w:spacing w:line="259" w:lineRule="auto"/>
        <w:contextualSpacing w:val="0"/>
        <w:rPr>
          <w:sz w:val="24"/>
          <w:szCs w:val="24"/>
        </w:rPr>
      </w:pPr>
      <w:r w:rsidRPr="00863E67">
        <w:rPr>
          <w:sz w:val="24"/>
          <w:szCs w:val="24"/>
        </w:rPr>
        <w:t>Increase understanding of child development by the early years workforce and families themselves, and the opportunities to promote that development through everyday interactions and play.</w:t>
      </w:r>
    </w:p>
    <w:p w14:paraId="3C915A1C" w14:textId="77777777" w:rsidR="00863E67" w:rsidRPr="00863E67" w:rsidRDefault="00863E67" w:rsidP="00863E67">
      <w:pPr>
        <w:pStyle w:val="ListParagraph"/>
        <w:numPr>
          <w:ilvl w:val="0"/>
          <w:numId w:val="43"/>
        </w:numPr>
        <w:spacing w:line="276" w:lineRule="auto"/>
        <w:contextualSpacing w:val="0"/>
        <w:rPr>
          <w:sz w:val="24"/>
          <w:szCs w:val="24"/>
        </w:rPr>
      </w:pPr>
      <w:r w:rsidRPr="00863E67">
        <w:rPr>
          <w:sz w:val="24"/>
          <w:szCs w:val="24"/>
        </w:rPr>
        <w:t>Develop and implement and monitor an agreed local multi-agency pathway to improve the speech, communication and language of babies and children, identifying opportunities for early intervention through screening and evidence-based interventions. In order to reduce inequalities, particular attention needs to be made to the needs of boys and children whose first language is not English. (Universal, Blackcountry and SEND)</w:t>
      </w:r>
    </w:p>
    <w:p w14:paraId="2F3AB492" w14:textId="77777777" w:rsidR="00863E67" w:rsidRPr="00863E67" w:rsidRDefault="00863E67" w:rsidP="00863E67">
      <w:pPr>
        <w:pStyle w:val="ListParagraph"/>
        <w:numPr>
          <w:ilvl w:val="0"/>
          <w:numId w:val="43"/>
        </w:numPr>
        <w:spacing w:line="276" w:lineRule="auto"/>
        <w:contextualSpacing w:val="0"/>
        <w:rPr>
          <w:sz w:val="24"/>
          <w:szCs w:val="24"/>
        </w:rPr>
      </w:pPr>
      <w:r w:rsidRPr="00863E67">
        <w:rPr>
          <w:sz w:val="24"/>
          <w:szCs w:val="24"/>
        </w:rPr>
        <w:t>Agencies should work alongside families to provide a secure environment that lays down the foundations for emotional resilience and good mental health. In particular, secure attachment, positive parental and child emotional wellbeing, parenting skills, and an active, healthy lifestyle should be supported.</w:t>
      </w:r>
    </w:p>
    <w:p w14:paraId="7A2E1B0E" w14:textId="77777777" w:rsidR="00863E67" w:rsidRPr="00863E67" w:rsidRDefault="00863E67" w:rsidP="00863E67">
      <w:pPr>
        <w:pStyle w:val="ListParagraph"/>
        <w:numPr>
          <w:ilvl w:val="0"/>
          <w:numId w:val="43"/>
        </w:numPr>
        <w:spacing w:line="276" w:lineRule="auto"/>
        <w:contextualSpacing w:val="0"/>
        <w:rPr>
          <w:sz w:val="24"/>
          <w:szCs w:val="24"/>
        </w:rPr>
      </w:pPr>
      <w:r w:rsidRPr="00863E67">
        <w:rPr>
          <w:sz w:val="24"/>
          <w:szCs w:val="24"/>
        </w:rPr>
        <w:t>Encourage healthy eating, cooking skills and physical activity in the home, early years and community settings as part of a ‘whole community’ approach that recognises the challenges of food poverty, access to safe green space, and the impact of fast food outlets.</w:t>
      </w:r>
    </w:p>
    <w:p w14:paraId="55D0D601" w14:textId="77777777" w:rsidR="00863E67" w:rsidRPr="00863E67" w:rsidRDefault="00863E67" w:rsidP="00863E67">
      <w:pPr>
        <w:pStyle w:val="ListParagraph"/>
        <w:numPr>
          <w:ilvl w:val="0"/>
          <w:numId w:val="43"/>
        </w:numPr>
        <w:spacing w:line="259" w:lineRule="auto"/>
        <w:contextualSpacing w:val="0"/>
        <w:rPr>
          <w:sz w:val="24"/>
          <w:szCs w:val="24"/>
        </w:rPr>
      </w:pPr>
      <w:r w:rsidRPr="00863E67">
        <w:rPr>
          <w:sz w:val="24"/>
          <w:szCs w:val="24"/>
        </w:rPr>
        <w:t>Continue to promote oral health and ensure children are registered with a dentist.</w:t>
      </w:r>
    </w:p>
    <w:p w14:paraId="47AED02F" w14:textId="77777777" w:rsidR="00863E67" w:rsidRPr="00863E67" w:rsidRDefault="00863E67" w:rsidP="00863E67">
      <w:pPr>
        <w:pStyle w:val="ListParagraph"/>
        <w:numPr>
          <w:ilvl w:val="0"/>
          <w:numId w:val="43"/>
        </w:numPr>
        <w:spacing w:line="276" w:lineRule="auto"/>
        <w:contextualSpacing w:val="0"/>
        <w:rPr>
          <w:sz w:val="24"/>
          <w:szCs w:val="24"/>
        </w:rPr>
      </w:pPr>
      <w:r w:rsidRPr="00863E67">
        <w:rPr>
          <w:sz w:val="24"/>
          <w:szCs w:val="24"/>
        </w:rPr>
        <w:t>Increase awareness and uptake of early years vaccinations focusing particularly on MMR.</w:t>
      </w:r>
    </w:p>
    <w:p w14:paraId="18758387" w14:textId="77777777" w:rsidR="00863E67" w:rsidRPr="00863E67" w:rsidRDefault="00863E67" w:rsidP="00863E67">
      <w:pPr>
        <w:pStyle w:val="ListParagraph"/>
        <w:numPr>
          <w:ilvl w:val="0"/>
          <w:numId w:val="43"/>
        </w:numPr>
        <w:spacing w:line="276" w:lineRule="auto"/>
        <w:contextualSpacing w:val="0"/>
        <w:rPr>
          <w:sz w:val="24"/>
          <w:szCs w:val="24"/>
        </w:rPr>
      </w:pPr>
      <w:r w:rsidRPr="00863E67">
        <w:rPr>
          <w:rFonts w:cstheme="minorHAnsi"/>
          <w:sz w:val="24"/>
          <w:szCs w:val="24"/>
        </w:rPr>
        <w:t>Support families to connect with and contribute to their local community, through the development of social networks and engagement with education, training, volunteering and employment opportunities.</w:t>
      </w:r>
    </w:p>
    <w:p w14:paraId="6F438D75" w14:textId="77777777" w:rsidR="00863E67" w:rsidRPr="00863E67" w:rsidRDefault="00863E67" w:rsidP="00863E67">
      <w:pPr>
        <w:pStyle w:val="ListParagraph"/>
        <w:numPr>
          <w:ilvl w:val="0"/>
          <w:numId w:val="43"/>
        </w:numPr>
        <w:spacing w:line="276" w:lineRule="auto"/>
        <w:contextualSpacing w:val="0"/>
        <w:rPr>
          <w:sz w:val="24"/>
          <w:szCs w:val="24"/>
        </w:rPr>
      </w:pPr>
      <w:r w:rsidRPr="00863E67">
        <w:rPr>
          <w:rFonts w:cstheme="minorHAnsi"/>
          <w:sz w:val="24"/>
          <w:szCs w:val="24"/>
        </w:rPr>
        <w:t>Undertake a workforce mapping exercise to gain better understanding of capacity within the whole system of prevention and early intervention for families.</w:t>
      </w:r>
    </w:p>
    <w:p w14:paraId="0D96C348" w14:textId="77777777" w:rsidR="00863E67" w:rsidRPr="00863E67" w:rsidRDefault="00863E67" w:rsidP="00863E67">
      <w:pPr>
        <w:pStyle w:val="ListParagraph"/>
        <w:numPr>
          <w:ilvl w:val="0"/>
          <w:numId w:val="43"/>
        </w:numPr>
        <w:spacing w:line="276" w:lineRule="auto"/>
        <w:contextualSpacing w:val="0"/>
        <w:rPr>
          <w:sz w:val="24"/>
          <w:szCs w:val="24"/>
        </w:rPr>
      </w:pPr>
      <w:r w:rsidRPr="00863E67">
        <w:rPr>
          <w:rFonts w:cstheme="minorHAnsi"/>
          <w:sz w:val="24"/>
          <w:szCs w:val="24"/>
        </w:rPr>
        <w:t>develop a multi-agency training strategy that will ensure the priority areas for action are understood and delivered consistently.</w:t>
      </w:r>
    </w:p>
    <w:p w14:paraId="6BCE6BB5" w14:textId="77777777" w:rsidR="00863E67" w:rsidRPr="00863E67" w:rsidRDefault="00863E67" w:rsidP="00863E67">
      <w:pPr>
        <w:pStyle w:val="ListParagraph"/>
        <w:spacing w:line="276" w:lineRule="auto"/>
        <w:contextualSpacing w:val="0"/>
        <w:rPr>
          <w:sz w:val="24"/>
          <w:szCs w:val="24"/>
        </w:rPr>
      </w:pPr>
    </w:p>
    <w:p w14:paraId="6906F4B0" w14:textId="77777777" w:rsidR="00863E67" w:rsidRPr="00863E67" w:rsidRDefault="00863E67" w:rsidP="00863E67">
      <w:pPr>
        <w:pStyle w:val="Heading2"/>
      </w:pPr>
      <w:r w:rsidRPr="00863E67">
        <w:t>Vulnerable Children and Families</w:t>
      </w:r>
    </w:p>
    <w:p w14:paraId="4AE6008B" w14:textId="77777777" w:rsidR="00863E67" w:rsidRPr="00863E67" w:rsidRDefault="00863E67" w:rsidP="00863E67">
      <w:pPr>
        <w:pStyle w:val="Heading3"/>
      </w:pPr>
      <w:r w:rsidRPr="00863E67">
        <w:t xml:space="preserve">Early Help </w:t>
      </w:r>
    </w:p>
    <w:p w14:paraId="74AFB0F4" w14:textId="77777777" w:rsidR="00863E67" w:rsidRPr="00863E67" w:rsidRDefault="00863E67" w:rsidP="00863E67">
      <w:pPr>
        <w:pStyle w:val="ListParagraph"/>
        <w:numPr>
          <w:ilvl w:val="0"/>
          <w:numId w:val="46"/>
        </w:numPr>
        <w:spacing w:line="259" w:lineRule="auto"/>
        <w:contextualSpacing w:val="0"/>
        <w:rPr>
          <w:sz w:val="24"/>
          <w:szCs w:val="24"/>
        </w:rPr>
      </w:pPr>
      <w:r w:rsidRPr="00863E67">
        <w:rPr>
          <w:sz w:val="24"/>
          <w:szCs w:val="24"/>
        </w:rPr>
        <w:t xml:space="preserve">Continue to build relationships between the Trust and key stakeholders such as Health and Education with a focus upon Early Help and Lead Practitioners, so that all agencies have a clear grip on their role within Early help and families receive the right intervention at the earliest opportunity. </w:t>
      </w:r>
    </w:p>
    <w:p w14:paraId="13248664" w14:textId="77777777" w:rsidR="00863E67" w:rsidRPr="00863E67" w:rsidRDefault="00863E67" w:rsidP="00863E67">
      <w:pPr>
        <w:pStyle w:val="ListParagraph"/>
        <w:numPr>
          <w:ilvl w:val="0"/>
          <w:numId w:val="46"/>
        </w:numPr>
        <w:spacing w:line="259" w:lineRule="auto"/>
        <w:contextualSpacing w:val="0"/>
        <w:rPr>
          <w:sz w:val="24"/>
          <w:szCs w:val="24"/>
        </w:rPr>
      </w:pPr>
      <w:r w:rsidRPr="00863E67">
        <w:rPr>
          <w:rFonts w:cs="Arial"/>
          <w:sz w:val="24"/>
          <w:szCs w:val="24"/>
        </w:rPr>
        <w:t>Sandwell Unborn Baby Network, to be embedded with all partners to ensure Early Help is offered at the earliest opportunity.</w:t>
      </w:r>
    </w:p>
    <w:p w14:paraId="7B4466A4" w14:textId="77777777" w:rsidR="00863E67" w:rsidRPr="00863E67" w:rsidRDefault="00863E67" w:rsidP="00863E67">
      <w:pPr>
        <w:pStyle w:val="ListParagraph"/>
        <w:numPr>
          <w:ilvl w:val="0"/>
          <w:numId w:val="46"/>
        </w:numPr>
        <w:spacing w:line="259" w:lineRule="auto"/>
        <w:contextualSpacing w:val="0"/>
        <w:rPr>
          <w:sz w:val="24"/>
          <w:szCs w:val="24"/>
        </w:rPr>
      </w:pPr>
      <w:r w:rsidRPr="00863E67">
        <w:rPr>
          <w:sz w:val="24"/>
          <w:szCs w:val="24"/>
        </w:rPr>
        <w:t xml:space="preserve">Work with partners across the borough to ensure children for all ethnicity’s have access to services as required and there are no barriers to participation.  Meetings have already commenced to look at Over and Under representation across the partnership in Sandwell. </w:t>
      </w:r>
    </w:p>
    <w:p w14:paraId="0A22AA40" w14:textId="77777777" w:rsidR="00863E67" w:rsidRPr="00863E67" w:rsidRDefault="00863E67" w:rsidP="00863E67">
      <w:pPr>
        <w:pStyle w:val="ListParagraph"/>
        <w:numPr>
          <w:ilvl w:val="0"/>
          <w:numId w:val="46"/>
        </w:numPr>
        <w:spacing w:line="259" w:lineRule="auto"/>
        <w:contextualSpacing w:val="0"/>
        <w:rPr>
          <w:sz w:val="24"/>
          <w:szCs w:val="24"/>
        </w:rPr>
      </w:pPr>
      <w:r w:rsidRPr="00863E67">
        <w:rPr>
          <w:sz w:val="24"/>
          <w:szCs w:val="24"/>
        </w:rPr>
        <w:t xml:space="preserve">Continue to embed and grow the links with SCVO colleagues who can enhance and support services available to 0-5 across the borough and look to use more community based assets.  </w:t>
      </w:r>
    </w:p>
    <w:p w14:paraId="6EEA18B6" w14:textId="47D568C3" w:rsidR="00863E67" w:rsidRPr="00863E67" w:rsidRDefault="00863E67" w:rsidP="00863E67">
      <w:pPr>
        <w:pStyle w:val="Heading3"/>
      </w:pPr>
      <w:r>
        <w:br/>
      </w:r>
      <w:r>
        <w:br/>
      </w:r>
      <w:r w:rsidRPr="00863E67">
        <w:t>SEND – Early Identification and Support</w:t>
      </w:r>
    </w:p>
    <w:p w14:paraId="1FB6AB6B" w14:textId="77777777" w:rsidR="00863E67" w:rsidRPr="00863E67" w:rsidRDefault="00863E67" w:rsidP="00863E67">
      <w:pPr>
        <w:pStyle w:val="ListParagraph"/>
        <w:numPr>
          <w:ilvl w:val="0"/>
          <w:numId w:val="44"/>
        </w:numPr>
        <w:spacing w:line="276" w:lineRule="auto"/>
        <w:contextualSpacing w:val="0"/>
        <w:rPr>
          <w:sz w:val="24"/>
          <w:szCs w:val="24"/>
        </w:rPr>
      </w:pPr>
      <w:r w:rsidRPr="00863E67">
        <w:rPr>
          <w:sz w:val="24"/>
          <w:szCs w:val="24"/>
        </w:rPr>
        <w:t>Promote the health, well-being, resilience and independence of vulnerable families living in Sandwell, helping to raise aspirations, break cycles of intergenerational deprivation and poor outcomes.</w:t>
      </w:r>
    </w:p>
    <w:p w14:paraId="3DDAF75F" w14:textId="77777777" w:rsidR="00863E67" w:rsidRPr="00863E67" w:rsidRDefault="00863E67" w:rsidP="00863E67">
      <w:pPr>
        <w:pStyle w:val="ListParagraph"/>
        <w:numPr>
          <w:ilvl w:val="0"/>
          <w:numId w:val="44"/>
        </w:numPr>
        <w:spacing w:line="276" w:lineRule="auto"/>
        <w:contextualSpacing w:val="0"/>
        <w:rPr>
          <w:sz w:val="24"/>
          <w:szCs w:val="24"/>
        </w:rPr>
      </w:pPr>
      <w:r w:rsidRPr="00863E67">
        <w:rPr>
          <w:sz w:val="24"/>
          <w:szCs w:val="24"/>
        </w:rPr>
        <w:t>Review and strengthen pathways of care and partnership working for families with complex and social needs.</w:t>
      </w:r>
    </w:p>
    <w:p w14:paraId="1450C6A4" w14:textId="77777777" w:rsidR="00863E67" w:rsidRPr="00863E67" w:rsidRDefault="00863E67" w:rsidP="00863E67">
      <w:pPr>
        <w:pStyle w:val="ListParagraph"/>
        <w:numPr>
          <w:ilvl w:val="0"/>
          <w:numId w:val="44"/>
        </w:numPr>
        <w:spacing w:line="276" w:lineRule="auto"/>
        <w:contextualSpacing w:val="0"/>
        <w:rPr>
          <w:sz w:val="24"/>
          <w:szCs w:val="24"/>
        </w:rPr>
      </w:pPr>
      <w:r w:rsidRPr="00863E67">
        <w:rPr>
          <w:sz w:val="24"/>
          <w:szCs w:val="24"/>
        </w:rPr>
        <w:t>Continue to focus on ensuring that that there are robust pre-birth assessments for vulnerable and complex families so that the right level of support and intervention can be put in place at the earliest possible stage.</w:t>
      </w:r>
    </w:p>
    <w:p w14:paraId="421C31C8" w14:textId="77777777" w:rsidR="00863E67" w:rsidRDefault="00863E67">
      <w:pPr>
        <w:spacing w:after="160" w:line="259" w:lineRule="auto"/>
        <w:rPr>
          <w:sz w:val="24"/>
          <w:szCs w:val="24"/>
        </w:rPr>
      </w:pPr>
      <w:r>
        <w:rPr>
          <w:sz w:val="24"/>
          <w:szCs w:val="24"/>
        </w:rPr>
        <w:br w:type="page"/>
      </w:r>
    </w:p>
    <w:p w14:paraId="79E12DDC" w14:textId="6120CB18" w:rsidR="00863E67" w:rsidRPr="00863E67" w:rsidRDefault="00863E67" w:rsidP="00863E67">
      <w:pPr>
        <w:pStyle w:val="ListParagraph"/>
        <w:numPr>
          <w:ilvl w:val="0"/>
          <w:numId w:val="44"/>
        </w:numPr>
        <w:spacing w:line="276" w:lineRule="auto"/>
        <w:contextualSpacing w:val="0"/>
        <w:rPr>
          <w:sz w:val="24"/>
          <w:szCs w:val="24"/>
        </w:rPr>
      </w:pPr>
      <w:r w:rsidRPr="00863E67">
        <w:rPr>
          <w:sz w:val="24"/>
          <w:szCs w:val="24"/>
        </w:rPr>
        <w:t>Further research and investigation is required to understand the reasons behind inequalities in the intervention rates for different ethnic groups in the social care system, and whether this is a reflection of need or over/under identification. This is a complex issue which requires analysis of the interaction between racism, ethnicity, socio-economic circumstances, service provision and wider policies.</w:t>
      </w:r>
    </w:p>
    <w:p w14:paraId="4EA9382C" w14:textId="77777777" w:rsidR="00863E67" w:rsidRPr="00863E67" w:rsidRDefault="00863E67" w:rsidP="00863E67">
      <w:pPr>
        <w:pStyle w:val="ListParagraph"/>
        <w:numPr>
          <w:ilvl w:val="0"/>
          <w:numId w:val="44"/>
        </w:numPr>
        <w:spacing w:line="276" w:lineRule="auto"/>
        <w:contextualSpacing w:val="0"/>
        <w:rPr>
          <w:sz w:val="24"/>
          <w:szCs w:val="24"/>
        </w:rPr>
      </w:pPr>
      <w:r w:rsidRPr="00863E67">
        <w:rPr>
          <w:sz w:val="24"/>
          <w:szCs w:val="24"/>
        </w:rPr>
        <w:t>Improve multi-agency safeguarding practice in relation to the key themes identified through case audits and practice reviews.</w:t>
      </w:r>
    </w:p>
    <w:p w14:paraId="4CDCD583" w14:textId="77777777" w:rsidR="00863E67" w:rsidRPr="00863E67" w:rsidRDefault="00863E67" w:rsidP="00863E67">
      <w:pPr>
        <w:pStyle w:val="ListParagraph"/>
        <w:numPr>
          <w:ilvl w:val="0"/>
          <w:numId w:val="44"/>
        </w:numPr>
        <w:spacing w:line="276" w:lineRule="auto"/>
        <w:contextualSpacing w:val="0"/>
        <w:rPr>
          <w:sz w:val="24"/>
          <w:szCs w:val="24"/>
        </w:rPr>
      </w:pPr>
      <w:r w:rsidRPr="00863E67">
        <w:rPr>
          <w:sz w:val="24"/>
          <w:szCs w:val="24"/>
        </w:rPr>
        <w:t>Maintain as a priority, sufficient social care staffing resource to work towards enabling more children to safely exit from Care.</w:t>
      </w:r>
    </w:p>
    <w:p w14:paraId="52524596" w14:textId="77777777" w:rsidR="00C31EB1" w:rsidRPr="00863E67" w:rsidRDefault="00C31EB1" w:rsidP="00863E67">
      <w:pPr>
        <w:spacing w:line="252" w:lineRule="auto"/>
        <w:rPr>
          <w:rFonts w:cstheme="minorHAnsi"/>
          <w:sz w:val="24"/>
          <w:szCs w:val="24"/>
          <w:lang w:val="en" w:eastAsia="en-GB"/>
        </w:rPr>
      </w:pPr>
    </w:p>
    <w:p w14:paraId="2526A1AB" w14:textId="77777777" w:rsidR="00476DF7" w:rsidRPr="00863E67" w:rsidRDefault="00476DF7" w:rsidP="00863E67">
      <w:pPr>
        <w:spacing w:line="252" w:lineRule="auto"/>
        <w:rPr>
          <w:rFonts w:eastAsiaTheme="minorHAnsi" w:cstheme="minorHAnsi"/>
          <w:sz w:val="24"/>
          <w:szCs w:val="24"/>
          <w:lang w:val="en" w:eastAsia="en-GB"/>
        </w:rPr>
      </w:pPr>
    </w:p>
    <w:p w14:paraId="5614EE6B" w14:textId="33D4857A" w:rsidR="0035575E" w:rsidRDefault="0035575E">
      <w:pPr>
        <w:spacing w:after="160" w:line="259" w:lineRule="auto"/>
        <w:rPr>
          <w:rFonts w:cstheme="minorHAnsi"/>
          <w:sz w:val="24"/>
          <w:szCs w:val="24"/>
        </w:rPr>
      </w:pPr>
      <w:r>
        <w:rPr>
          <w:rFonts w:cstheme="minorHAnsi"/>
          <w:sz w:val="24"/>
          <w:szCs w:val="24"/>
        </w:rPr>
        <w:br w:type="page"/>
      </w:r>
    </w:p>
    <w:p w14:paraId="65CF70D5" w14:textId="6A40545E" w:rsidR="0035575E" w:rsidRDefault="0035575E" w:rsidP="0035575E">
      <w:pPr>
        <w:pStyle w:val="TOCHeading"/>
        <w:rPr>
          <w:sz w:val="48"/>
          <w:szCs w:val="48"/>
        </w:rPr>
      </w:pPr>
    </w:p>
    <w:p w14:paraId="62289B6E" w14:textId="40F196E8" w:rsidR="0035575E" w:rsidRDefault="0035575E" w:rsidP="0035575E">
      <w:pPr>
        <w:pStyle w:val="TOCHeading"/>
        <w:jc w:val="center"/>
        <w:rPr>
          <w:sz w:val="48"/>
          <w:szCs w:val="48"/>
        </w:rPr>
      </w:pPr>
    </w:p>
    <w:p w14:paraId="4ADFB50F" w14:textId="77777777" w:rsidR="0035575E" w:rsidRDefault="0035575E" w:rsidP="0035575E">
      <w:pPr>
        <w:pStyle w:val="TOCHeading"/>
        <w:jc w:val="center"/>
        <w:rPr>
          <w:sz w:val="48"/>
          <w:szCs w:val="48"/>
        </w:rPr>
      </w:pPr>
    </w:p>
    <w:p w14:paraId="0331E216" w14:textId="77777777" w:rsidR="0035575E" w:rsidRDefault="0035575E" w:rsidP="0035575E">
      <w:pPr>
        <w:pStyle w:val="TOCHeading"/>
        <w:jc w:val="center"/>
        <w:rPr>
          <w:sz w:val="48"/>
          <w:szCs w:val="48"/>
        </w:rPr>
      </w:pPr>
    </w:p>
    <w:p w14:paraId="2BBB0D1B" w14:textId="77777777" w:rsidR="0035575E" w:rsidRDefault="0035575E" w:rsidP="0035575E"/>
    <w:p w14:paraId="41F2979B" w14:textId="77777777" w:rsidR="0035575E" w:rsidRPr="00DA4199" w:rsidRDefault="0035575E" w:rsidP="0035575E"/>
    <w:p w14:paraId="577D1734" w14:textId="75A936D9" w:rsidR="00E86C66" w:rsidRPr="00DA4199" w:rsidRDefault="0035575E" w:rsidP="00E86C66">
      <w:pPr>
        <w:pStyle w:val="TOCHeading"/>
        <w:jc w:val="center"/>
        <w:rPr>
          <w:sz w:val="72"/>
          <w:szCs w:val="72"/>
        </w:rPr>
      </w:pPr>
      <w:r>
        <w:rPr>
          <w:sz w:val="48"/>
          <w:szCs w:val="48"/>
        </w:rPr>
        <w:br/>
      </w:r>
      <w:r w:rsidR="00E86C66">
        <w:rPr>
          <w:sz w:val="48"/>
          <w:szCs w:val="48"/>
        </w:rPr>
        <w:t>Section Two:</w:t>
      </w:r>
      <w:r w:rsidR="00E86C66">
        <w:rPr>
          <w:sz w:val="48"/>
          <w:szCs w:val="48"/>
        </w:rPr>
        <w:br/>
      </w:r>
      <w:r w:rsidR="00E86C66" w:rsidRPr="0035575E">
        <w:rPr>
          <w:sz w:val="72"/>
          <w:szCs w:val="72"/>
        </w:rPr>
        <w:t>Sandwell 5</w:t>
      </w:r>
      <w:r w:rsidR="00E86C66">
        <w:rPr>
          <w:sz w:val="72"/>
          <w:szCs w:val="72"/>
        </w:rPr>
        <w:t>-19/25</w:t>
      </w:r>
      <w:r w:rsidR="00E86C66" w:rsidRPr="0035575E">
        <w:rPr>
          <w:sz w:val="72"/>
          <w:szCs w:val="72"/>
        </w:rPr>
        <w:t xml:space="preserve">’s JSNA </w:t>
      </w:r>
      <w:r w:rsidR="00E86C66" w:rsidRPr="0035575E">
        <w:rPr>
          <w:sz w:val="72"/>
          <w:szCs w:val="72"/>
        </w:rPr>
        <w:br/>
        <w:t>202</w:t>
      </w:r>
      <w:r w:rsidR="00E86C66">
        <w:rPr>
          <w:sz w:val="72"/>
          <w:szCs w:val="72"/>
        </w:rPr>
        <w:t>2</w:t>
      </w:r>
    </w:p>
    <w:p w14:paraId="12AEFB24" w14:textId="58B94AF2" w:rsidR="0035575E" w:rsidRPr="00DA4199" w:rsidRDefault="0035575E" w:rsidP="0035575E">
      <w:pPr>
        <w:pStyle w:val="TOCHeading"/>
        <w:jc w:val="center"/>
        <w:rPr>
          <w:sz w:val="72"/>
          <w:szCs w:val="72"/>
        </w:rPr>
      </w:pPr>
    </w:p>
    <w:p w14:paraId="5DE541C8" w14:textId="77777777" w:rsidR="0035575E" w:rsidRPr="00553F26" w:rsidRDefault="0035575E" w:rsidP="0035575E"/>
    <w:p w14:paraId="3F198E37" w14:textId="77777777" w:rsidR="0035575E" w:rsidRDefault="0035575E" w:rsidP="0035575E">
      <w:pPr>
        <w:pStyle w:val="TOCHeading"/>
      </w:pPr>
    </w:p>
    <w:p w14:paraId="5271B7C9" w14:textId="77777777" w:rsidR="0035575E" w:rsidRDefault="0035575E" w:rsidP="0035575E">
      <w:pPr>
        <w:pStyle w:val="TOCHeading"/>
      </w:pPr>
    </w:p>
    <w:p w14:paraId="6FA471C2" w14:textId="77777777" w:rsidR="0035575E" w:rsidRDefault="0035575E" w:rsidP="0035575E">
      <w:pPr>
        <w:pStyle w:val="TOCHeading"/>
      </w:pPr>
    </w:p>
    <w:p w14:paraId="12AD1438" w14:textId="77777777" w:rsidR="0035575E" w:rsidRDefault="0035575E" w:rsidP="0035575E">
      <w:pPr>
        <w:pStyle w:val="TOCHeading"/>
      </w:pPr>
    </w:p>
    <w:p w14:paraId="14ED5BD3" w14:textId="77777777" w:rsidR="0035575E" w:rsidRDefault="0035575E" w:rsidP="0035575E">
      <w:pPr>
        <w:pStyle w:val="TOCHeading"/>
      </w:pPr>
    </w:p>
    <w:p w14:paraId="70E858F5" w14:textId="77777777" w:rsidR="0035575E" w:rsidRDefault="0035575E" w:rsidP="0035575E">
      <w:pPr>
        <w:pStyle w:val="TOCHeading"/>
      </w:pPr>
    </w:p>
    <w:p w14:paraId="1CA9AEC2" w14:textId="77777777" w:rsidR="0035575E" w:rsidRDefault="0035575E" w:rsidP="0035575E"/>
    <w:p w14:paraId="7B1167FE" w14:textId="77777777" w:rsidR="00476DF7" w:rsidRPr="00863E67" w:rsidRDefault="00476DF7" w:rsidP="00863E67">
      <w:pPr>
        <w:rPr>
          <w:rFonts w:cstheme="minorHAnsi"/>
          <w:sz w:val="24"/>
          <w:szCs w:val="24"/>
        </w:rPr>
      </w:pPr>
    </w:p>
    <w:p w14:paraId="45B24789" w14:textId="77777777" w:rsidR="00003903" w:rsidRPr="00863E67" w:rsidRDefault="00003903" w:rsidP="00863E67">
      <w:pPr>
        <w:rPr>
          <w:sz w:val="24"/>
          <w:szCs w:val="24"/>
        </w:rPr>
      </w:pPr>
    </w:p>
    <w:p w14:paraId="5700491C" w14:textId="77777777" w:rsidR="00003903" w:rsidRPr="00863E67" w:rsidRDefault="00003903" w:rsidP="00863E67">
      <w:pPr>
        <w:rPr>
          <w:rFonts w:cs="Arial"/>
          <w:color w:val="FF0000"/>
          <w:sz w:val="24"/>
          <w:szCs w:val="24"/>
        </w:rPr>
      </w:pPr>
    </w:p>
    <w:p w14:paraId="10B54631" w14:textId="517A86FC" w:rsidR="00E86C66" w:rsidRDefault="00E86C66" w:rsidP="00E86C66">
      <w:pPr>
        <w:pStyle w:val="Heading1"/>
        <w:rPr>
          <w:noProof/>
        </w:rPr>
      </w:pPr>
      <w:r>
        <w:rPr>
          <w:noProof/>
        </w:rPr>
        <w:t>Section Two: Sandwell 5-19/25’s JSNA</w:t>
      </w:r>
    </w:p>
    <w:p w14:paraId="64995CEB" w14:textId="77777777" w:rsidR="00BF6BFB" w:rsidRPr="00BF6BFB" w:rsidRDefault="00BF6BFB" w:rsidP="00BF6BFB"/>
    <w:p w14:paraId="15526EB7" w14:textId="742C02A3" w:rsidR="00E86C66" w:rsidRPr="00FF13A5" w:rsidRDefault="00E86C66" w:rsidP="00E86C66">
      <w:pPr>
        <w:tabs>
          <w:tab w:val="right" w:leader="dot" w:pos="8505"/>
          <w:tab w:val="right" w:leader="dot" w:pos="9072"/>
        </w:tabs>
        <w:spacing w:line="200" w:lineRule="exact"/>
        <w:rPr>
          <w:sz w:val="24"/>
          <w:szCs w:val="24"/>
        </w:rPr>
      </w:pPr>
      <w:r w:rsidRPr="00FF13A5">
        <w:rPr>
          <w:sz w:val="24"/>
          <w:szCs w:val="24"/>
        </w:rPr>
        <w:t>Demographics</w:t>
      </w:r>
      <w:r>
        <w:rPr>
          <w:sz w:val="24"/>
          <w:szCs w:val="24"/>
        </w:rPr>
        <w:tab/>
        <w:t>96</w:t>
      </w:r>
    </w:p>
    <w:p w14:paraId="2BD753E2" w14:textId="3BADACB8" w:rsidR="003A493B" w:rsidRDefault="003A493B" w:rsidP="003A493B">
      <w:pPr>
        <w:tabs>
          <w:tab w:val="right" w:leader="dot" w:pos="8505"/>
        </w:tabs>
        <w:spacing w:line="200" w:lineRule="exact"/>
        <w:ind w:left="720"/>
        <w:rPr>
          <w:lang w:eastAsia="en-GB"/>
        </w:rPr>
      </w:pPr>
      <w:r>
        <w:rPr>
          <w:lang w:eastAsia="en-GB"/>
        </w:rPr>
        <w:t>Population</w:t>
      </w:r>
      <w:r>
        <w:rPr>
          <w:lang w:eastAsia="en-GB"/>
        </w:rPr>
        <w:tab/>
        <w:t>96</w:t>
      </w:r>
    </w:p>
    <w:p w14:paraId="26709CB6" w14:textId="69D4A159" w:rsidR="00DE27D6" w:rsidRDefault="00DE27D6" w:rsidP="00DE27D6">
      <w:pPr>
        <w:tabs>
          <w:tab w:val="right" w:leader="dot" w:pos="8505"/>
        </w:tabs>
        <w:spacing w:line="200" w:lineRule="exact"/>
        <w:ind w:left="720"/>
        <w:rPr>
          <w:lang w:eastAsia="en-GB"/>
        </w:rPr>
      </w:pPr>
      <w:r>
        <w:rPr>
          <w:lang w:eastAsia="en-GB"/>
        </w:rPr>
        <w:t>Growing Diversity Amongst our Young People</w:t>
      </w:r>
      <w:r>
        <w:rPr>
          <w:lang w:eastAsia="en-GB"/>
        </w:rPr>
        <w:tab/>
        <w:t>97</w:t>
      </w:r>
    </w:p>
    <w:p w14:paraId="166E1CB4" w14:textId="77777777" w:rsidR="00E86C66" w:rsidRDefault="00E86C66" w:rsidP="00E86C66">
      <w:pPr>
        <w:tabs>
          <w:tab w:val="right" w:leader="dot" w:pos="8505"/>
        </w:tabs>
        <w:spacing w:line="200" w:lineRule="exact"/>
      </w:pPr>
    </w:p>
    <w:p w14:paraId="194FDE0A" w14:textId="0D182E06" w:rsidR="00E86C66" w:rsidRPr="00FF13A5" w:rsidRDefault="00E27F0C" w:rsidP="00E86C66">
      <w:pPr>
        <w:tabs>
          <w:tab w:val="right" w:leader="dot" w:pos="8505"/>
        </w:tabs>
        <w:spacing w:line="200" w:lineRule="exact"/>
        <w:rPr>
          <w:sz w:val="24"/>
          <w:szCs w:val="24"/>
        </w:rPr>
      </w:pPr>
      <w:r>
        <w:rPr>
          <w:sz w:val="24"/>
          <w:szCs w:val="24"/>
        </w:rPr>
        <w:t>5-19/25: Overview</w:t>
      </w:r>
      <w:r w:rsidR="00E86C66">
        <w:rPr>
          <w:sz w:val="24"/>
          <w:szCs w:val="24"/>
        </w:rPr>
        <w:tab/>
      </w:r>
      <w:r w:rsidR="00DF12B6">
        <w:rPr>
          <w:sz w:val="24"/>
          <w:szCs w:val="24"/>
        </w:rPr>
        <w:t>9</w:t>
      </w:r>
      <w:r w:rsidR="00DE27D6">
        <w:rPr>
          <w:sz w:val="24"/>
          <w:szCs w:val="24"/>
        </w:rPr>
        <w:t>9</w:t>
      </w:r>
    </w:p>
    <w:p w14:paraId="4842C76C" w14:textId="77777777" w:rsidR="00E86C66" w:rsidRDefault="00E86C66" w:rsidP="00E86C66">
      <w:pPr>
        <w:pStyle w:val="TOC2"/>
        <w:tabs>
          <w:tab w:val="right" w:leader="dot" w:pos="8505"/>
        </w:tabs>
      </w:pPr>
    </w:p>
    <w:p w14:paraId="44E95CEA" w14:textId="17C59A4D" w:rsidR="00E86C66" w:rsidRPr="00FF13A5" w:rsidRDefault="007B340E" w:rsidP="00E86C66">
      <w:pPr>
        <w:pStyle w:val="TOC2"/>
        <w:tabs>
          <w:tab w:val="right" w:leader="dot" w:pos="8505"/>
        </w:tabs>
      </w:pPr>
      <w:r>
        <w:t xml:space="preserve">Child </w:t>
      </w:r>
      <w:r w:rsidR="006633C1">
        <w:t>Health</w:t>
      </w:r>
      <w:r>
        <w:t xml:space="preserve"> and </w:t>
      </w:r>
      <w:r w:rsidR="006633C1">
        <w:t>Behaviours</w:t>
      </w:r>
      <w:r w:rsidR="00E86C66">
        <w:tab/>
      </w:r>
      <w:r w:rsidR="00DE27D6">
        <w:t>100</w:t>
      </w:r>
    </w:p>
    <w:p w14:paraId="479E5F50" w14:textId="5C1ECB00" w:rsidR="00E86C66" w:rsidRDefault="007B340E" w:rsidP="00E86C66">
      <w:pPr>
        <w:tabs>
          <w:tab w:val="right" w:leader="dot" w:pos="8505"/>
        </w:tabs>
        <w:spacing w:line="200" w:lineRule="exact"/>
        <w:ind w:left="720"/>
        <w:rPr>
          <w:lang w:eastAsia="en-GB"/>
        </w:rPr>
      </w:pPr>
      <w:r>
        <w:rPr>
          <w:lang w:eastAsia="en-GB"/>
        </w:rPr>
        <w:t>Healthy Weight</w:t>
      </w:r>
      <w:r w:rsidR="00E86C66">
        <w:rPr>
          <w:lang w:eastAsia="en-GB"/>
        </w:rPr>
        <w:tab/>
      </w:r>
      <w:r w:rsidR="00DE27D6">
        <w:rPr>
          <w:lang w:eastAsia="en-GB"/>
        </w:rPr>
        <w:t>100</w:t>
      </w:r>
    </w:p>
    <w:p w14:paraId="45FC95D3" w14:textId="5DACAFAC" w:rsidR="0019592F" w:rsidRDefault="0019592F" w:rsidP="0019592F">
      <w:pPr>
        <w:tabs>
          <w:tab w:val="right" w:leader="dot" w:pos="8505"/>
        </w:tabs>
        <w:spacing w:line="200" w:lineRule="exact"/>
        <w:ind w:left="720"/>
        <w:rPr>
          <w:lang w:eastAsia="en-GB"/>
        </w:rPr>
      </w:pPr>
      <w:r>
        <w:rPr>
          <w:lang w:eastAsia="en-GB"/>
        </w:rPr>
        <w:t>Children</w:t>
      </w:r>
      <w:r w:rsidR="008274D2">
        <w:rPr>
          <w:lang w:eastAsia="en-GB"/>
        </w:rPr>
        <w:t>’s Physical Activity</w:t>
      </w:r>
      <w:r>
        <w:rPr>
          <w:lang w:eastAsia="en-GB"/>
        </w:rPr>
        <w:tab/>
      </w:r>
      <w:r w:rsidR="008274D2">
        <w:rPr>
          <w:lang w:eastAsia="en-GB"/>
        </w:rPr>
        <w:t>10</w:t>
      </w:r>
      <w:r w:rsidR="00DE27D6">
        <w:rPr>
          <w:lang w:eastAsia="en-GB"/>
        </w:rPr>
        <w:t>1</w:t>
      </w:r>
    </w:p>
    <w:p w14:paraId="21BB65E4" w14:textId="4E5F0C30" w:rsidR="00E86C66" w:rsidRDefault="007B340E" w:rsidP="00E86C66">
      <w:pPr>
        <w:tabs>
          <w:tab w:val="right" w:leader="dot" w:pos="8505"/>
        </w:tabs>
        <w:spacing w:line="200" w:lineRule="exact"/>
        <w:ind w:left="720"/>
        <w:rPr>
          <w:lang w:eastAsia="en-GB"/>
        </w:rPr>
      </w:pPr>
      <w:r>
        <w:rPr>
          <w:lang w:eastAsia="en-GB"/>
        </w:rPr>
        <w:t>Teenage Conceptions</w:t>
      </w:r>
      <w:r w:rsidR="00E86C66">
        <w:rPr>
          <w:lang w:eastAsia="en-GB"/>
        </w:rPr>
        <w:tab/>
      </w:r>
      <w:r>
        <w:rPr>
          <w:lang w:eastAsia="en-GB"/>
        </w:rPr>
        <w:t>10</w:t>
      </w:r>
      <w:r w:rsidR="00DE27D6">
        <w:rPr>
          <w:lang w:eastAsia="en-GB"/>
        </w:rPr>
        <w:t>2</w:t>
      </w:r>
    </w:p>
    <w:p w14:paraId="2D40AFE6" w14:textId="123BEEF4" w:rsidR="00E86C66" w:rsidRDefault="007B340E" w:rsidP="00E86C66">
      <w:pPr>
        <w:tabs>
          <w:tab w:val="right" w:leader="dot" w:pos="8505"/>
        </w:tabs>
        <w:spacing w:line="200" w:lineRule="exact"/>
        <w:ind w:left="720"/>
        <w:rPr>
          <w:lang w:eastAsia="en-GB"/>
        </w:rPr>
      </w:pPr>
      <w:r>
        <w:rPr>
          <w:lang w:eastAsia="en-GB"/>
        </w:rPr>
        <w:t>Substance Misuse</w:t>
      </w:r>
      <w:r w:rsidR="00E86C66">
        <w:rPr>
          <w:lang w:eastAsia="en-GB"/>
        </w:rPr>
        <w:tab/>
      </w:r>
      <w:r>
        <w:rPr>
          <w:lang w:eastAsia="en-GB"/>
        </w:rPr>
        <w:t>10</w:t>
      </w:r>
      <w:r w:rsidR="00DE27D6">
        <w:rPr>
          <w:lang w:eastAsia="en-GB"/>
        </w:rPr>
        <w:t>4</w:t>
      </w:r>
    </w:p>
    <w:p w14:paraId="649E0E5F" w14:textId="6DEFA146" w:rsidR="008B0AB8" w:rsidRDefault="008B0AB8" w:rsidP="008B0AB8">
      <w:pPr>
        <w:tabs>
          <w:tab w:val="right" w:leader="dot" w:pos="8505"/>
        </w:tabs>
        <w:spacing w:line="200" w:lineRule="exact"/>
        <w:ind w:left="720"/>
        <w:rPr>
          <w:lang w:eastAsia="en-GB"/>
        </w:rPr>
      </w:pPr>
      <w:r>
        <w:rPr>
          <w:lang w:eastAsia="en-GB"/>
        </w:rPr>
        <w:t>Hospital Admissions Caused by Injury</w:t>
      </w:r>
      <w:r>
        <w:rPr>
          <w:lang w:eastAsia="en-GB"/>
        </w:rPr>
        <w:tab/>
        <w:t>10</w:t>
      </w:r>
      <w:r w:rsidR="00DE27D6">
        <w:rPr>
          <w:lang w:eastAsia="en-GB"/>
        </w:rPr>
        <w:t>5</w:t>
      </w:r>
    </w:p>
    <w:p w14:paraId="085B4055" w14:textId="48BF704A" w:rsidR="00E86C66" w:rsidRDefault="007B340E" w:rsidP="00E86C66">
      <w:pPr>
        <w:tabs>
          <w:tab w:val="right" w:leader="dot" w:pos="8505"/>
        </w:tabs>
        <w:spacing w:line="200" w:lineRule="exact"/>
        <w:ind w:left="720"/>
        <w:rPr>
          <w:lang w:eastAsia="en-GB"/>
        </w:rPr>
      </w:pPr>
      <w:r>
        <w:rPr>
          <w:lang w:eastAsia="en-GB"/>
        </w:rPr>
        <w:t>Homelessness</w:t>
      </w:r>
      <w:r w:rsidR="00E86C66">
        <w:rPr>
          <w:lang w:eastAsia="en-GB"/>
        </w:rPr>
        <w:tab/>
      </w:r>
      <w:r>
        <w:rPr>
          <w:lang w:eastAsia="en-GB"/>
        </w:rPr>
        <w:t>10</w:t>
      </w:r>
      <w:r w:rsidR="00DE27D6">
        <w:rPr>
          <w:lang w:eastAsia="en-GB"/>
        </w:rPr>
        <w:t>5</w:t>
      </w:r>
    </w:p>
    <w:p w14:paraId="6EDB755D" w14:textId="03E151BD" w:rsidR="008B0AB8" w:rsidRDefault="008B0AB8" w:rsidP="008B0AB8">
      <w:pPr>
        <w:tabs>
          <w:tab w:val="right" w:leader="dot" w:pos="8505"/>
        </w:tabs>
        <w:spacing w:line="200" w:lineRule="exact"/>
        <w:ind w:left="720"/>
        <w:rPr>
          <w:lang w:eastAsia="en-GB"/>
        </w:rPr>
      </w:pPr>
      <w:r>
        <w:rPr>
          <w:lang w:eastAsia="en-GB"/>
        </w:rPr>
        <w:t>Low Income Families</w:t>
      </w:r>
      <w:r>
        <w:rPr>
          <w:lang w:eastAsia="en-GB"/>
        </w:rPr>
        <w:tab/>
        <w:t>10</w:t>
      </w:r>
      <w:r w:rsidR="00DE27D6">
        <w:rPr>
          <w:lang w:eastAsia="en-GB"/>
        </w:rPr>
        <w:t>6</w:t>
      </w:r>
    </w:p>
    <w:p w14:paraId="2FBFA4E4" w14:textId="61C12C56" w:rsidR="00E86C66" w:rsidRDefault="007B340E" w:rsidP="00E86C66">
      <w:pPr>
        <w:tabs>
          <w:tab w:val="right" w:leader="dot" w:pos="8505"/>
        </w:tabs>
        <w:spacing w:line="200" w:lineRule="exact"/>
        <w:ind w:left="720"/>
        <w:rPr>
          <w:lang w:eastAsia="en-GB"/>
        </w:rPr>
      </w:pPr>
      <w:r>
        <w:rPr>
          <w:lang w:eastAsia="en-GB"/>
        </w:rPr>
        <w:t>Not in Education, Employment or Training (NEETS)</w:t>
      </w:r>
      <w:r w:rsidR="00E86C66">
        <w:rPr>
          <w:lang w:eastAsia="en-GB"/>
        </w:rPr>
        <w:tab/>
      </w:r>
      <w:r>
        <w:rPr>
          <w:lang w:eastAsia="en-GB"/>
        </w:rPr>
        <w:t>10</w:t>
      </w:r>
      <w:r w:rsidR="00DE27D6">
        <w:rPr>
          <w:lang w:eastAsia="en-GB"/>
        </w:rPr>
        <w:t>7</w:t>
      </w:r>
    </w:p>
    <w:p w14:paraId="6DC0229D" w14:textId="79DE126F" w:rsidR="00F614FB" w:rsidRDefault="00F614FB" w:rsidP="00F614FB">
      <w:pPr>
        <w:tabs>
          <w:tab w:val="right" w:leader="dot" w:pos="8505"/>
        </w:tabs>
        <w:spacing w:line="200" w:lineRule="exact"/>
        <w:ind w:left="720"/>
        <w:rPr>
          <w:lang w:eastAsia="en-GB"/>
        </w:rPr>
      </w:pPr>
      <w:r>
        <w:rPr>
          <w:lang w:eastAsia="en-GB"/>
        </w:rPr>
        <w:t>Crime</w:t>
      </w:r>
      <w:r>
        <w:rPr>
          <w:lang w:eastAsia="en-GB"/>
        </w:rPr>
        <w:tab/>
        <w:t>10</w:t>
      </w:r>
      <w:r w:rsidR="00DE27D6">
        <w:rPr>
          <w:lang w:eastAsia="en-GB"/>
        </w:rPr>
        <w:t>8</w:t>
      </w:r>
    </w:p>
    <w:p w14:paraId="3B373A77" w14:textId="77777777" w:rsidR="00F614FB" w:rsidRDefault="00F614FB" w:rsidP="00E86C66">
      <w:pPr>
        <w:tabs>
          <w:tab w:val="right" w:leader="dot" w:pos="8505"/>
        </w:tabs>
        <w:spacing w:line="200" w:lineRule="exact"/>
        <w:ind w:left="720"/>
        <w:rPr>
          <w:lang w:eastAsia="en-GB"/>
        </w:rPr>
      </w:pPr>
    </w:p>
    <w:p w14:paraId="1033C0A7" w14:textId="3769AB83" w:rsidR="00E86C66" w:rsidRDefault="00E86C66">
      <w:pPr>
        <w:spacing w:after="160" w:line="259" w:lineRule="auto"/>
        <w:rPr>
          <w:rFonts w:eastAsiaTheme="majorEastAsia" w:cstheme="majorBidi"/>
          <w:color w:val="2F5496" w:themeColor="accent1" w:themeShade="BF"/>
          <w:sz w:val="24"/>
          <w:szCs w:val="24"/>
        </w:rPr>
      </w:pPr>
      <w:r>
        <w:rPr>
          <w:rFonts w:eastAsiaTheme="majorEastAsia" w:cstheme="majorBidi"/>
          <w:color w:val="2F5496" w:themeColor="accent1" w:themeShade="BF"/>
          <w:sz w:val="24"/>
          <w:szCs w:val="24"/>
        </w:rPr>
        <w:br w:type="page"/>
      </w:r>
    </w:p>
    <w:p w14:paraId="7C4DD2E1" w14:textId="6D4A44CB" w:rsidR="00E86C66" w:rsidRDefault="00E86C66" w:rsidP="00E86C66">
      <w:pPr>
        <w:pStyle w:val="Heading1"/>
      </w:pPr>
      <w:r w:rsidRPr="0001277C">
        <w:t>Demographics</w:t>
      </w:r>
      <w:r w:rsidR="00E74157">
        <w:t>: 5-19/25 Years</w:t>
      </w:r>
    </w:p>
    <w:p w14:paraId="553E063F" w14:textId="47828B4F" w:rsidR="0025614E" w:rsidRDefault="0025614E" w:rsidP="0025614E"/>
    <w:p w14:paraId="6BE5A18B" w14:textId="7E8DB1C4" w:rsidR="00FB0156" w:rsidRPr="0025614E" w:rsidRDefault="0025614E" w:rsidP="0025614E">
      <w:pPr>
        <w:pStyle w:val="ListParagraph"/>
        <w:spacing w:line="259" w:lineRule="auto"/>
        <w:ind w:left="0"/>
        <w:contextualSpacing w:val="0"/>
        <w:rPr>
          <w:rFonts w:eastAsiaTheme="majorEastAsia" w:cstheme="majorBidi"/>
          <w:color w:val="2F5496" w:themeColor="accent1" w:themeShade="BF"/>
          <w:sz w:val="26"/>
          <w:szCs w:val="26"/>
        </w:rPr>
      </w:pPr>
      <w:r w:rsidRPr="0025614E">
        <w:rPr>
          <w:rFonts w:eastAsiaTheme="majorEastAsia" w:cstheme="majorBidi"/>
          <w:color w:val="2F5496" w:themeColor="accent1" w:themeShade="BF"/>
          <w:sz w:val="26"/>
          <w:szCs w:val="26"/>
        </w:rPr>
        <w:t xml:space="preserve">Population: </w:t>
      </w:r>
    </w:p>
    <w:p w14:paraId="68A670FA" w14:textId="4A0D941D" w:rsidR="00E74157" w:rsidRDefault="00636D84" w:rsidP="00863E67">
      <w:pPr>
        <w:pStyle w:val="ListParagraph"/>
        <w:spacing w:line="259" w:lineRule="auto"/>
        <w:contextualSpacing w:val="0"/>
        <w:rPr>
          <w:rFonts w:eastAsiaTheme="majorEastAsia" w:cstheme="majorBidi"/>
          <w:color w:val="2F5496" w:themeColor="accent1" w:themeShade="BF"/>
          <w:sz w:val="24"/>
          <w:szCs w:val="24"/>
        </w:rPr>
      </w:pPr>
      <w:r w:rsidRPr="00636D84">
        <w:rPr>
          <w:noProof/>
        </w:rPr>
        <w:drawing>
          <wp:anchor distT="0" distB="0" distL="114300" distR="114300" simplePos="0" relativeHeight="251658253" behindDoc="1" locked="0" layoutInCell="1" allowOverlap="1" wp14:anchorId="5577D901" wp14:editId="286C8687">
            <wp:simplePos x="0" y="0"/>
            <wp:positionH relativeFrom="column">
              <wp:posOffset>464820</wp:posOffset>
            </wp:positionH>
            <wp:positionV relativeFrom="paragraph">
              <wp:posOffset>6350</wp:posOffset>
            </wp:positionV>
            <wp:extent cx="4716780" cy="7429500"/>
            <wp:effectExtent l="0" t="0" r="7620" b="0"/>
            <wp:wrapTight wrapText="bothSides">
              <wp:wrapPolygon edited="0">
                <wp:start x="0" y="0"/>
                <wp:lineTo x="0" y="11409"/>
                <wp:lineTo x="523" y="11631"/>
                <wp:lineTo x="0" y="11686"/>
                <wp:lineTo x="0" y="14178"/>
                <wp:lineTo x="1396" y="14178"/>
                <wp:lineTo x="262" y="14400"/>
                <wp:lineTo x="0" y="14566"/>
                <wp:lineTo x="0" y="21545"/>
                <wp:lineTo x="21548" y="21545"/>
                <wp:lineTo x="21548"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16780" cy="7429500"/>
                    </a:xfrm>
                    <a:prstGeom prst="rect">
                      <a:avLst/>
                    </a:prstGeom>
                    <a:noFill/>
                    <a:ln>
                      <a:noFill/>
                    </a:ln>
                  </pic:spPr>
                </pic:pic>
              </a:graphicData>
            </a:graphic>
          </wp:anchor>
        </w:drawing>
      </w:r>
    </w:p>
    <w:p w14:paraId="114352B5" w14:textId="5EC8930A"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4FBDC3B1" w14:textId="3E094E11"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0604CA2E" w14:textId="00CCFEB0"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53534D59" w14:textId="3DCB3E01"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3916762B" w14:textId="2DC0263D"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3F87CB1A" w14:textId="57876F39"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01C2C231" w14:textId="27A0752B"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51BBC245" w14:textId="2B18C522"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704F6AB0" w14:textId="31BCCAC3"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32BB792D" w14:textId="5D24811F"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5C7A70EE" w14:textId="604B3F2A"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41C30CE4" w14:textId="72D27079"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0E31D682" w14:textId="28FEF924"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58A8B198" w14:textId="5AB1F40D"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77EC7CC6" w14:textId="467BA0E7"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0FD8AA31" w14:textId="0605DF57"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2A55AF4D" w14:textId="3432D445"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1D0636DB" w14:textId="12733698"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6902202F" w14:textId="1199A968"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4F04B7B3" w14:textId="03081B5B"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690E36EA" w14:textId="615DAC70"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61AD3813" w14:textId="4D4D269D"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23CF3C97" w14:textId="60542161"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16916CBE" w14:textId="64057B14"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414FA819" w14:textId="27F0AE43"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5759F863" w14:textId="319AC2B6"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192C844E" w14:textId="5BDC630D" w:rsidR="00E74157" w:rsidRDefault="00E74157" w:rsidP="00863E67">
      <w:pPr>
        <w:pStyle w:val="ListParagraph"/>
        <w:spacing w:line="259" w:lineRule="auto"/>
        <w:contextualSpacing w:val="0"/>
        <w:rPr>
          <w:rFonts w:eastAsiaTheme="majorEastAsia" w:cstheme="majorBidi"/>
          <w:color w:val="2F5496" w:themeColor="accent1" w:themeShade="BF"/>
          <w:sz w:val="24"/>
          <w:szCs w:val="24"/>
        </w:rPr>
      </w:pPr>
    </w:p>
    <w:p w14:paraId="35991E66" w14:textId="4E300931" w:rsidR="00E27F0C" w:rsidRDefault="00E27F0C" w:rsidP="00863E67">
      <w:pPr>
        <w:pStyle w:val="ListParagraph"/>
        <w:spacing w:line="259" w:lineRule="auto"/>
        <w:contextualSpacing w:val="0"/>
        <w:rPr>
          <w:rFonts w:eastAsiaTheme="majorEastAsia" w:cstheme="majorBidi"/>
          <w:color w:val="2F5496" w:themeColor="accent1" w:themeShade="BF"/>
          <w:sz w:val="24"/>
          <w:szCs w:val="24"/>
        </w:rPr>
      </w:pPr>
    </w:p>
    <w:p w14:paraId="23DD8A59" w14:textId="77777777" w:rsidR="00E27F0C" w:rsidRDefault="00E27F0C" w:rsidP="00863E67">
      <w:pPr>
        <w:pStyle w:val="ListParagraph"/>
        <w:spacing w:line="259" w:lineRule="auto"/>
        <w:contextualSpacing w:val="0"/>
        <w:rPr>
          <w:rFonts w:eastAsiaTheme="majorEastAsia" w:cstheme="majorBidi"/>
          <w:color w:val="2F5496" w:themeColor="accent1" w:themeShade="BF"/>
          <w:sz w:val="24"/>
          <w:szCs w:val="24"/>
        </w:rPr>
      </w:pPr>
    </w:p>
    <w:p w14:paraId="11812CC6" w14:textId="77777777" w:rsidR="00E27F0C" w:rsidRDefault="005A1A73" w:rsidP="005A1A73">
      <w:pPr>
        <w:pStyle w:val="ListParagraph"/>
        <w:numPr>
          <w:ilvl w:val="0"/>
          <w:numId w:val="1"/>
        </w:numPr>
        <w:ind w:left="714" w:hanging="357"/>
        <w:contextualSpacing w:val="0"/>
        <w:rPr>
          <w:rFonts w:cstheme="majorHAnsi"/>
          <w:sz w:val="24"/>
          <w:szCs w:val="24"/>
        </w:rPr>
      </w:pPr>
      <w:r>
        <w:rPr>
          <w:rFonts w:cstheme="majorHAnsi"/>
          <w:sz w:val="24"/>
          <w:szCs w:val="24"/>
        </w:rPr>
        <w:t>67,475</w:t>
      </w:r>
      <w:r w:rsidRPr="00580BD2">
        <w:rPr>
          <w:rFonts w:cstheme="majorHAnsi"/>
          <w:sz w:val="24"/>
          <w:szCs w:val="24"/>
        </w:rPr>
        <w:t xml:space="preserve"> children</w:t>
      </w:r>
      <w:r>
        <w:rPr>
          <w:rFonts w:cstheme="majorHAnsi"/>
          <w:sz w:val="24"/>
          <w:szCs w:val="24"/>
        </w:rPr>
        <w:t xml:space="preserve"> and young people </w:t>
      </w:r>
      <w:r w:rsidRPr="00580BD2">
        <w:rPr>
          <w:rFonts w:cstheme="majorHAnsi"/>
          <w:sz w:val="24"/>
          <w:szCs w:val="24"/>
        </w:rPr>
        <w:t>aged 5</w:t>
      </w:r>
      <w:r>
        <w:rPr>
          <w:rFonts w:cstheme="majorHAnsi"/>
          <w:sz w:val="24"/>
          <w:szCs w:val="24"/>
        </w:rPr>
        <w:t>-19</w:t>
      </w:r>
      <w:r w:rsidRPr="00580BD2">
        <w:rPr>
          <w:rFonts w:cstheme="majorHAnsi"/>
          <w:sz w:val="24"/>
          <w:szCs w:val="24"/>
        </w:rPr>
        <w:t xml:space="preserve"> live in Sandwell</w:t>
      </w:r>
      <w:r w:rsidR="001A6688">
        <w:rPr>
          <w:rFonts w:cstheme="majorHAnsi"/>
          <w:sz w:val="24"/>
          <w:szCs w:val="24"/>
        </w:rPr>
        <w:t xml:space="preserve"> and 90,566 aged 5-25</w:t>
      </w:r>
      <w:r w:rsidRPr="00580BD2">
        <w:rPr>
          <w:rFonts w:cstheme="majorHAnsi"/>
          <w:sz w:val="24"/>
          <w:szCs w:val="24"/>
        </w:rPr>
        <w:t xml:space="preserve">.  </w:t>
      </w:r>
    </w:p>
    <w:p w14:paraId="02CE7950" w14:textId="020090E3" w:rsidR="005A1A73" w:rsidRDefault="001A6688" w:rsidP="005A1A73">
      <w:pPr>
        <w:pStyle w:val="ListParagraph"/>
        <w:numPr>
          <w:ilvl w:val="0"/>
          <w:numId w:val="1"/>
        </w:numPr>
        <w:ind w:left="714" w:hanging="357"/>
        <w:contextualSpacing w:val="0"/>
        <w:rPr>
          <w:rFonts w:cstheme="majorHAnsi"/>
          <w:sz w:val="24"/>
          <w:szCs w:val="24"/>
        </w:rPr>
      </w:pPr>
      <w:r>
        <w:rPr>
          <w:rFonts w:cstheme="majorHAnsi"/>
          <w:sz w:val="24"/>
          <w:szCs w:val="24"/>
        </w:rPr>
        <w:t xml:space="preserve">The 5-19 age group </w:t>
      </w:r>
      <w:r w:rsidR="005A1A73" w:rsidRPr="00580BD2">
        <w:rPr>
          <w:rFonts w:cstheme="majorHAnsi"/>
          <w:sz w:val="24"/>
          <w:szCs w:val="24"/>
        </w:rPr>
        <w:t xml:space="preserve">represent </w:t>
      </w:r>
      <w:r>
        <w:rPr>
          <w:rFonts w:cstheme="majorHAnsi"/>
          <w:sz w:val="24"/>
          <w:szCs w:val="24"/>
        </w:rPr>
        <w:t>20.5</w:t>
      </w:r>
      <w:r w:rsidR="005A1A73" w:rsidRPr="00580BD2">
        <w:rPr>
          <w:rFonts w:cstheme="majorHAnsi"/>
          <w:sz w:val="24"/>
          <w:szCs w:val="24"/>
        </w:rPr>
        <w:t>% of Sandwell’s total population</w:t>
      </w:r>
      <w:r>
        <w:rPr>
          <w:rFonts w:cstheme="majorHAnsi"/>
          <w:sz w:val="24"/>
          <w:szCs w:val="24"/>
        </w:rPr>
        <w:t xml:space="preserve"> and 5-25 age group, 27.5%</w:t>
      </w:r>
      <w:r w:rsidR="00E27F0C">
        <w:rPr>
          <w:rFonts w:cstheme="majorHAnsi"/>
          <w:sz w:val="24"/>
          <w:szCs w:val="24"/>
        </w:rPr>
        <w:t>.</w:t>
      </w:r>
      <w:r w:rsidR="005A1A73" w:rsidRPr="00580BD2">
        <w:rPr>
          <w:rFonts w:cstheme="majorHAnsi"/>
          <w:sz w:val="24"/>
          <w:szCs w:val="24"/>
        </w:rPr>
        <w:t xml:space="preserve"> </w:t>
      </w:r>
    </w:p>
    <w:p w14:paraId="518170FB" w14:textId="7D8769CF" w:rsidR="00EB225B" w:rsidRDefault="005A1A73" w:rsidP="005A1A73">
      <w:pPr>
        <w:pStyle w:val="ListParagraph"/>
        <w:numPr>
          <w:ilvl w:val="0"/>
          <w:numId w:val="1"/>
        </w:numPr>
        <w:ind w:left="714" w:hanging="357"/>
        <w:contextualSpacing w:val="0"/>
        <w:rPr>
          <w:rFonts w:cstheme="majorHAnsi"/>
          <w:sz w:val="24"/>
          <w:szCs w:val="24"/>
        </w:rPr>
      </w:pPr>
      <w:r w:rsidRPr="00580BD2">
        <w:rPr>
          <w:rFonts w:cstheme="majorHAnsi"/>
          <w:sz w:val="24"/>
          <w:szCs w:val="24"/>
        </w:rPr>
        <w:t>Almost half of Sandwell’s 5</w:t>
      </w:r>
      <w:r w:rsidR="001A6688">
        <w:rPr>
          <w:rFonts w:cstheme="majorHAnsi"/>
          <w:sz w:val="24"/>
          <w:szCs w:val="24"/>
        </w:rPr>
        <w:t xml:space="preserve">-19 </w:t>
      </w:r>
      <w:r w:rsidRPr="00580BD2">
        <w:rPr>
          <w:rFonts w:cstheme="majorHAnsi"/>
          <w:sz w:val="24"/>
          <w:szCs w:val="24"/>
        </w:rPr>
        <w:t>year olds live in either West Bromwich (23.</w:t>
      </w:r>
      <w:r w:rsidR="001A6688">
        <w:rPr>
          <w:rFonts w:cstheme="majorHAnsi"/>
          <w:sz w:val="24"/>
          <w:szCs w:val="24"/>
        </w:rPr>
        <w:t>8</w:t>
      </w:r>
      <w:r w:rsidRPr="00580BD2">
        <w:rPr>
          <w:rFonts w:cstheme="majorHAnsi"/>
          <w:sz w:val="24"/>
          <w:szCs w:val="24"/>
        </w:rPr>
        <w:t>%) or Smethwick (21.</w:t>
      </w:r>
      <w:r w:rsidR="001A6688">
        <w:rPr>
          <w:rFonts w:cstheme="majorHAnsi"/>
          <w:sz w:val="24"/>
          <w:szCs w:val="24"/>
        </w:rPr>
        <w:t>4</w:t>
      </w:r>
      <w:r w:rsidRPr="00580BD2">
        <w:rPr>
          <w:rFonts w:cstheme="majorHAnsi"/>
          <w:sz w:val="24"/>
          <w:szCs w:val="24"/>
        </w:rPr>
        <w:t>%)</w:t>
      </w:r>
      <w:r w:rsidR="00E27F0C">
        <w:rPr>
          <w:rFonts w:cstheme="majorHAnsi"/>
          <w:sz w:val="24"/>
          <w:szCs w:val="24"/>
        </w:rPr>
        <w:t xml:space="preserve">.  </w:t>
      </w:r>
      <w:r w:rsidR="00EB225B">
        <w:rPr>
          <w:rFonts w:cstheme="majorHAnsi"/>
          <w:sz w:val="24"/>
          <w:szCs w:val="24"/>
        </w:rPr>
        <w:t>The town with the highest proportions of 5-19 year olds is Smethwick town (23.5%), and the lowest proportion live in Rowley Regis (19.2%).</w:t>
      </w:r>
    </w:p>
    <w:p w14:paraId="51B817C3" w14:textId="357EFB9D" w:rsidR="00711029" w:rsidRDefault="00711029" w:rsidP="005A1A73">
      <w:pPr>
        <w:pStyle w:val="ListParagraph"/>
        <w:numPr>
          <w:ilvl w:val="0"/>
          <w:numId w:val="1"/>
        </w:numPr>
        <w:ind w:left="714" w:hanging="357"/>
        <w:contextualSpacing w:val="0"/>
        <w:rPr>
          <w:rFonts w:cstheme="majorHAnsi"/>
          <w:sz w:val="24"/>
          <w:szCs w:val="24"/>
        </w:rPr>
      </w:pPr>
      <w:r>
        <w:rPr>
          <w:rFonts w:cstheme="majorHAnsi"/>
          <w:sz w:val="24"/>
          <w:szCs w:val="24"/>
        </w:rPr>
        <w:t>Ward proportions for 5-19 year olds vary from 16.9% in Charlemont and Grove Vale to 26.1% in Soho and Victoria ward.</w:t>
      </w:r>
    </w:p>
    <w:p w14:paraId="6F6504A4" w14:textId="59F1B579" w:rsidR="00E27F0C" w:rsidRDefault="00EB225B" w:rsidP="005A1A73">
      <w:pPr>
        <w:pStyle w:val="ListParagraph"/>
        <w:numPr>
          <w:ilvl w:val="0"/>
          <w:numId w:val="1"/>
        </w:numPr>
        <w:ind w:left="714" w:hanging="357"/>
        <w:contextualSpacing w:val="0"/>
        <w:rPr>
          <w:rFonts w:cstheme="majorHAnsi"/>
          <w:sz w:val="24"/>
          <w:szCs w:val="24"/>
        </w:rPr>
      </w:pPr>
      <w:r>
        <w:rPr>
          <w:rFonts w:cstheme="majorHAnsi"/>
          <w:sz w:val="24"/>
          <w:szCs w:val="24"/>
        </w:rPr>
        <w:t xml:space="preserve">Sandwell has higher proportions of </w:t>
      </w:r>
      <w:r w:rsidR="00E27F0C">
        <w:rPr>
          <w:rFonts w:cstheme="majorHAnsi"/>
          <w:sz w:val="24"/>
          <w:szCs w:val="24"/>
        </w:rPr>
        <w:t>both the 5-19 and 5-25 year age groups</w:t>
      </w:r>
      <w:r>
        <w:rPr>
          <w:rFonts w:cstheme="majorHAnsi"/>
          <w:sz w:val="24"/>
          <w:szCs w:val="24"/>
        </w:rPr>
        <w:t xml:space="preserve">, than the England </w:t>
      </w:r>
      <w:r w:rsidR="00711029">
        <w:rPr>
          <w:rFonts w:cstheme="majorHAnsi"/>
          <w:sz w:val="24"/>
          <w:szCs w:val="24"/>
        </w:rPr>
        <w:t>proportions</w:t>
      </w:r>
      <w:r>
        <w:rPr>
          <w:rFonts w:cstheme="majorHAnsi"/>
          <w:sz w:val="24"/>
          <w:szCs w:val="24"/>
        </w:rPr>
        <w:t>.  20.5% of Sandwell residents are aged 5-19 years and 27.5% aged 5-25, compared to 17.8% and 25.3% for England.</w:t>
      </w:r>
      <w:r w:rsidR="00711029">
        <w:rPr>
          <w:rFonts w:cstheme="majorHAnsi"/>
          <w:sz w:val="24"/>
          <w:szCs w:val="24"/>
        </w:rPr>
        <w:t xml:space="preserve"> </w:t>
      </w:r>
    </w:p>
    <w:p w14:paraId="45E0E05B" w14:textId="2B117B61" w:rsidR="00EB225B" w:rsidRDefault="00E27F0C" w:rsidP="00E27F0C">
      <w:pPr>
        <w:pStyle w:val="ListParagraph"/>
        <w:ind w:left="714"/>
        <w:contextualSpacing w:val="0"/>
        <w:rPr>
          <w:rFonts w:cstheme="majorHAnsi"/>
          <w:sz w:val="24"/>
          <w:szCs w:val="24"/>
        </w:rPr>
      </w:pPr>
      <w:r>
        <w:rPr>
          <w:rFonts w:cstheme="majorHAnsi"/>
          <w:sz w:val="24"/>
          <w:szCs w:val="24"/>
        </w:rPr>
        <w:t xml:space="preserve">Source: </w:t>
      </w:r>
      <w:r w:rsidR="00711029" w:rsidRPr="00580BD2">
        <w:rPr>
          <w:rFonts w:cstheme="majorHAnsi"/>
          <w:sz w:val="24"/>
          <w:szCs w:val="24"/>
        </w:rPr>
        <w:t>(20</w:t>
      </w:r>
      <w:r w:rsidR="00711029">
        <w:rPr>
          <w:rFonts w:cstheme="majorHAnsi"/>
          <w:sz w:val="24"/>
          <w:szCs w:val="24"/>
        </w:rPr>
        <w:t>20 ONS Estimates)</w:t>
      </w:r>
      <w:r w:rsidR="00711029" w:rsidRPr="00580BD2">
        <w:rPr>
          <w:rFonts w:cstheme="majorHAnsi"/>
          <w:sz w:val="24"/>
          <w:szCs w:val="24"/>
        </w:rPr>
        <w:t xml:space="preserve"> </w:t>
      </w:r>
      <w:r w:rsidR="00711029">
        <w:rPr>
          <w:rFonts w:cstheme="majorHAnsi"/>
          <w:sz w:val="24"/>
          <w:szCs w:val="24"/>
        </w:rPr>
        <w:t xml:space="preserve"> </w:t>
      </w:r>
    </w:p>
    <w:p w14:paraId="061BA309" w14:textId="77777777" w:rsidR="0025614E" w:rsidRDefault="0025614E" w:rsidP="00BD6487">
      <w:pPr>
        <w:spacing w:after="0"/>
        <w:rPr>
          <w:rFonts w:eastAsiaTheme="majorEastAsia" w:cstheme="majorBidi"/>
          <w:color w:val="2F5496" w:themeColor="accent1" w:themeShade="BF"/>
          <w:sz w:val="26"/>
          <w:szCs w:val="26"/>
        </w:rPr>
      </w:pPr>
    </w:p>
    <w:p w14:paraId="06696E07" w14:textId="511480F7" w:rsidR="00BD6487" w:rsidRDefault="00BD6487" w:rsidP="00BD6487">
      <w:pPr>
        <w:spacing w:after="0"/>
        <w:rPr>
          <w:rFonts w:eastAsiaTheme="majorEastAsia" w:cstheme="majorBidi"/>
          <w:color w:val="2F5496" w:themeColor="accent1" w:themeShade="BF"/>
          <w:sz w:val="26"/>
          <w:szCs w:val="26"/>
        </w:rPr>
      </w:pPr>
      <w:r w:rsidRPr="0025614E">
        <w:rPr>
          <w:rFonts w:eastAsiaTheme="majorEastAsia" w:cstheme="majorBidi"/>
          <w:color w:val="2F5496" w:themeColor="accent1" w:themeShade="BF"/>
          <w:sz w:val="26"/>
          <w:szCs w:val="26"/>
        </w:rPr>
        <w:t>Growing Diversity Amongst our Young People</w:t>
      </w:r>
      <w:r w:rsidR="00DE27D6">
        <w:rPr>
          <w:rFonts w:eastAsiaTheme="majorEastAsia" w:cstheme="majorBidi"/>
          <w:color w:val="2F5496" w:themeColor="accent1" w:themeShade="BF"/>
          <w:sz w:val="26"/>
          <w:szCs w:val="26"/>
        </w:rPr>
        <w:t>:</w:t>
      </w:r>
    </w:p>
    <w:p w14:paraId="7D6F2792" w14:textId="77777777" w:rsidR="0025614E" w:rsidRPr="0025614E" w:rsidRDefault="0025614E" w:rsidP="00BD6487">
      <w:pPr>
        <w:spacing w:after="0"/>
        <w:rPr>
          <w:rFonts w:eastAsiaTheme="majorEastAsia" w:cstheme="majorBidi"/>
          <w:color w:val="2F5496" w:themeColor="accent1" w:themeShade="BF"/>
          <w:sz w:val="26"/>
          <w:szCs w:val="26"/>
        </w:rPr>
      </w:pPr>
    </w:p>
    <w:p w14:paraId="6A16B4A9" w14:textId="0873C64E" w:rsidR="00BD6487" w:rsidRDefault="00BD6487" w:rsidP="00BD6487">
      <w:pPr>
        <w:spacing w:after="160" w:line="259" w:lineRule="auto"/>
        <w:rPr>
          <w:rFonts w:cstheme="minorHAnsi"/>
          <w:sz w:val="24"/>
          <w:szCs w:val="24"/>
          <w:lang w:val="en" w:eastAsia="en-GB"/>
        </w:rPr>
      </w:pPr>
      <w:r w:rsidRPr="0025614E">
        <w:rPr>
          <w:rFonts w:cstheme="minorHAnsi"/>
          <w:sz w:val="24"/>
          <w:szCs w:val="24"/>
          <w:lang w:val="en" w:eastAsia="en-GB"/>
        </w:rPr>
        <w:t>Sandwell is a diverse borough and this is reflected in our young population. In fact</w:t>
      </w:r>
      <w:r w:rsidR="00985731">
        <w:rPr>
          <w:rFonts w:cstheme="minorHAnsi"/>
          <w:sz w:val="24"/>
          <w:szCs w:val="24"/>
          <w:lang w:val="en" w:eastAsia="en-GB"/>
        </w:rPr>
        <w:t>,</w:t>
      </w:r>
      <w:r w:rsidRPr="0025614E">
        <w:rPr>
          <w:rFonts w:cstheme="minorHAnsi"/>
          <w:sz w:val="24"/>
          <w:szCs w:val="24"/>
          <w:lang w:val="en" w:eastAsia="en-GB"/>
        </w:rPr>
        <w:t xml:space="preserve"> there is greater diversity amongst our young population than our older population. This </w:t>
      </w:r>
      <w:r w:rsidR="00DE27D6">
        <w:rPr>
          <w:rFonts w:cstheme="minorHAnsi"/>
          <w:sz w:val="24"/>
          <w:szCs w:val="24"/>
          <w:lang w:val="en" w:eastAsia="en-GB"/>
        </w:rPr>
        <w:t>is</w:t>
      </w:r>
      <w:r w:rsidRPr="0025614E">
        <w:rPr>
          <w:rFonts w:cstheme="minorHAnsi"/>
          <w:sz w:val="24"/>
          <w:szCs w:val="24"/>
          <w:lang w:val="en" w:eastAsia="en-GB"/>
        </w:rPr>
        <w:t xml:space="preserve"> demonstrated in figure </w:t>
      </w:r>
      <w:r w:rsidR="00985731">
        <w:rPr>
          <w:rFonts w:cstheme="minorHAnsi"/>
          <w:sz w:val="24"/>
          <w:szCs w:val="24"/>
          <w:lang w:val="en" w:eastAsia="en-GB"/>
        </w:rPr>
        <w:t>4</w:t>
      </w:r>
      <w:r w:rsidRPr="0025614E">
        <w:rPr>
          <w:rFonts w:cstheme="minorHAnsi"/>
          <w:sz w:val="24"/>
          <w:szCs w:val="24"/>
          <w:lang w:val="en" w:eastAsia="en-GB"/>
        </w:rPr>
        <w:t xml:space="preserve">.1 below, where the 2011 census data shows Sandwell’s </w:t>
      </w:r>
      <w:r w:rsidR="00DE27D6">
        <w:rPr>
          <w:rFonts w:cstheme="minorHAnsi"/>
          <w:sz w:val="24"/>
          <w:szCs w:val="24"/>
          <w:lang w:val="en" w:eastAsia="en-GB"/>
        </w:rPr>
        <w:t>5</w:t>
      </w:r>
      <w:r w:rsidRPr="0025614E">
        <w:rPr>
          <w:rFonts w:cstheme="minorHAnsi"/>
          <w:sz w:val="24"/>
          <w:szCs w:val="24"/>
          <w:lang w:val="en" w:eastAsia="en-GB"/>
        </w:rPr>
        <w:t xml:space="preserve">-19 year olds to be the most diverse with </w:t>
      </w:r>
      <w:r w:rsidR="00985731">
        <w:rPr>
          <w:rFonts w:cstheme="minorHAnsi"/>
          <w:sz w:val="24"/>
          <w:szCs w:val="24"/>
          <w:lang w:val="en" w:eastAsia="en-GB"/>
        </w:rPr>
        <w:t>a</w:t>
      </w:r>
      <w:r w:rsidRPr="0025614E">
        <w:rPr>
          <w:rFonts w:cstheme="minorHAnsi"/>
          <w:sz w:val="24"/>
          <w:szCs w:val="24"/>
          <w:lang w:val="en" w:eastAsia="en-GB"/>
        </w:rPr>
        <w:t xml:space="preserve">n increase in the Asian, Mixed and Black ethnic groups compared to the 2001 census.  The black </w:t>
      </w:r>
      <w:r w:rsidR="00DE27D6">
        <w:rPr>
          <w:rFonts w:cstheme="minorHAnsi"/>
          <w:sz w:val="24"/>
          <w:szCs w:val="24"/>
          <w:lang w:val="en" w:eastAsia="en-GB"/>
        </w:rPr>
        <w:t>5</w:t>
      </w:r>
      <w:r w:rsidRPr="0025614E">
        <w:rPr>
          <w:rFonts w:cstheme="minorHAnsi"/>
          <w:sz w:val="24"/>
          <w:szCs w:val="24"/>
          <w:lang w:val="en" w:eastAsia="en-GB"/>
        </w:rPr>
        <w:t>-19 year old population ha</w:t>
      </w:r>
      <w:r w:rsidR="00985731">
        <w:rPr>
          <w:rFonts w:cstheme="minorHAnsi"/>
          <w:sz w:val="24"/>
          <w:szCs w:val="24"/>
          <w:lang w:val="en" w:eastAsia="en-GB"/>
        </w:rPr>
        <w:t>d</w:t>
      </w:r>
      <w:r w:rsidRPr="0025614E">
        <w:rPr>
          <w:rFonts w:cstheme="minorHAnsi"/>
          <w:sz w:val="24"/>
          <w:szCs w:val="24"/>
          <w:lang w:val="en" w:eastAsia="en-GB"/>
        </w:rPr>
        <w:t xml:space="preserve"> almost doubled since 2001.</w:t>
      </w:r>
    </w:p>
    <w:p w14:paraId="14DDB58F" w14:textId="693C8057" w:rsidR="003A493B" w:rsidRPr="0025614E" w:rsidRDefault="003A493B" w:rsidP="00DE27D6">
      <w:pPr>
        <w:spacing w:after="0"/>
        <w:rPr>
          <w:rFonts w:cstheme="minorHAnsi"/>
          <w:sz w:val="24"/>
          <w:szCs w:val="24"/>
          <w:lang w:val="en" w:eastAsia="en-GB"/>
        </w:rPr>
      </w:pPr>
      <w:r>
        <w:rPr>
          <w:rFonts w:cstheme="minorHAnsi"/>
          <w:sz w:val="24"/>
          <w:szCs w:val="24"/>
          <w:lang w:val="en" w:eastAsia="en-GB"/>
        </w:rPr>
        <w:t xml:space="preserve">In 2011 </w:t>
      </w:r>
      <w:r w:rsidRPr="0025614E">
        <w:rPr>
          <w:rFonts w:cstheme="minorHAnsi"/>
          <w:sz w:val="24"/>
          <w:szCs w:val="24"/>
          <w:lang w:val="en" w:eastAsia="en-GB"/>
        </w:rPr>
        <w:t>England and West Midlands ha</w:t>
      </w:r>
      <w:r w:rsidR="00DE27D6">
        <w:rPr>
          <w:rFonts w:cstheme="minorHAnsi"/>
          <w:sz w:val="24"/>
          <w:szCs w:val="24"/>
          <w:lang w:val="en" w:eastAsia="en-GB"/>
        </w:rPr>
        <w:t>d</w:t>
      </w:r>
      <w:r w:rsidRPr="0025614E">
        <w:rPr>
          <w:rFonts w:cstheme="minorHAnsi"/>
          <w:sz w:val="24"/>
          <w:szCs w:val="24"/>
          <w:lang w:val="en" w:eastAsia="en-GB"/>
        </w:rPr>
        <w:t xml:space="preserve"> a proportion of 84.3% and 81.0%, respectively, of young people (0-19 years) that are White.   However, Sandwell ha</w:t>
      </w:r>
      <w:r w:rsidR="00DE27D6">
        <w:rPr>
          <w:rFonts w:cstheme="minorHAnsi"/>
          <w:sz w:val="24"/>
          <w:szCs w:val="24"/>
          <w:lang w:val="en" w:eastAsia="en-GB"/>
        </w:rPr>
        <w:t>d</w:t>
      </w:r>
      <w:r w:rsidRPr="0025614E">
        <w:rPr>
          <w:rFonts w:cstheme="minorHAnsi"/>
          <w:sz w:val="24"/>
          <w:szCs w:val="24"/>
          <w:lang w:val="en" w:eastAsia="en-GB"/>
        </w:rPr>
        <w:t xml:space="preserve"> 59.6%, many of whom are non</w:t>
      </w:r>
      <w:r>
        <w:rPr>
          <w:rFonts w:cstheme="minorHAnsi"/>
          <w:sz w:val="24"/>
          <w:szCs w:val="24"/>
          <w:lang w:val="en" w:eastAsia="en-GB"/>
        </w:rPr>
        <w:t>-</w:t>
      </w:r>
      <w:r w:rsidRPr="0025614E">
        <w:rPr>
          <w:rFonts w:cstheme="minorHAnsi"/>
          <w:sz w:val="24"/>
          <w:szCs w:val="24"/>
          <w:lang w:val="en" w:eastAsia="en-GB"/>
        </w:rPr>
        <w:t xml:space="preserve">white British. Therefore, more than 40% of Sandwell young people population </w:t>
      </w:r>
      <w:r w:rsidR="00DE27D6">
        <w:rPr>
          <w:rFonts w:cstheme="minorHAnsi"/>
          <w:sz w:val="24"/>
          <w:szCs w:val="24"/>
          <w:lang w:val="en" w:eastAsia="en-GB"/>
        </w:rPr>
        <w:t>were</w:t>
      </w:r>
      <w:r w:rsidRPr="0025614E">
        <w:rPr>
          <w:rFonts w:cstheme="minorHAnsi"/>
          <w:sz w:val="24"/>
          <w:szCs w:val="24"/>
          <w:lang w:val="en" w:eastAsia="en-GB"/>
        </w:rPr>
        <w:t xml:space="preserve"> from Mixed, Asian, Black or other groups.  Further, the Asian population actually represent</w:t>
      </w:r>
      <w:r w:rsidR="00DE27D6">
        <w:rPr>
          <w:rFonts w:cstheme="minorHAnsi"/>
          <w:sz w:val="24"/>
          <w:szCs w:val="24"/>
          <w:lang w:val="en" w:eastAsia="en-GB"/>
        </w:rPr>
        <w:t>ed</w:t>
      </w:r>
      <w:r w:rsidRPr="0025614E">
        <w:rPr>
          <w:rFonts w:cstheme="minorHAnsi"/>
          <w:sz w:val="24"/>
          <w:szCs w:val="24"/>
          <w:lang w:val="en" w:eastAsia="en-GB"/>
        </w:rPr>
        <w:t xml:space="preserve"> a quarter of Sandwell’s young people (0-19 years) population (24.2%). </w:t>
      </w:r>
    </w:p>
    <w:p w14:paraId="2FA0A89E" w14:textId="0E106606" w:rsidR="003A493B" w:rsidRDefault="003A493B" w:rsidP="00BD6487">
      <w:pPr>
        <w:spacing w:after="160" w:line="259" w:lineRule="auto"/>
        <w:rPr>
          <w:rFonts w:cstheme="minorHAnsi"/>
          <w:sz w:val="24"/>
          <w:szCs w:val="24"/>
          <w:lang w:val="en" w:eastAsia="en-GB"/>
        </w:rPr>
      </w:pPr>
    </w:p>
    <w:p w14:paraId="34034951" w14:textId="080EDDD4" w:rsidR="003A493B" w:rsidRPr="0025614E" w:rsidRDefault="003A493B" w:rsidP="003A493B">
      <w:pPr>
        <w:spacing w:after="0"/>
        <w:jc w:val="both"/>
        <w:rPr>
          <w:rFonts w:cstheme="minorHAnsi"/>
          <w:sz w:val="24"/>
          <w:szCs w:val="24"/>
          <w:lang w:val="en" w:eastAsia="en-GB"/>
        </w:rPr>
      </w:pPr>
      <w:r w:rsidRPr="0025614E">
        <w:rPr>
          <w:rFonts w:cstheme="minorHAnsi"/>
          <w:sz w:val="24"/>
          <w:szCs w:val="24"/>
          <w:lang w:val="en" w:eastAsia="en-GB"/>
        </w:rPr>
        <w:t xml:space="preserve">Analysis of the 2011 Sandwell’s total population (all ages) religion </w:t>
      </w:r>
      <w:r w:rsidR="00DE27D6">
        <w:rPr>
          <w:rFonts w:cstheme="minorHAnsi"/>
          <w:sz w:val="24"/>
          <w:szCs w:val="24"/>
          <w:lang w:val="en" w:eastAsia="en-GB"/>
        </w:rPr>
        <w:t>showed</w:t>
      </w:r>
      <w:r w:rsidRPr="0025614E">
        <w:rPr>
          <w:rFonts w:cstheme="minorHAnsi"/>
          <w:sz w:val="24"/>
          <w:szCs w:val="24"/>
          <w:lang w:val="en" w:eastAsia="en-GB"/>
        </w:rPr>
        <w:t xml:space="preserve"> the population as:</w:t>
      </w:r>
    </w:p>
    <w:p w14:paraId="7D207573" w14:textId="77777777" w:rsidR="003A493B" w:rsidRPr="0025614E" w:rsidRDefault="003A493B" w:rsidP="003A493B">
      <w:pPr>
        <w:spacing w:after="0"/>
        <w:jc w:val="both"/>
        <w:rPr>
          <w:rFonts w:cstheme="minorHAnsi"/>
          <w:sz w:val="24"/>
          <w:szCs w:val="24"/>
          <w:lang w:val="en" w:eastAsia="en-GB"/>
        </w:rPr>
      </w:pPr>
      <w:r w:rsidRPr="0025614E">
        <w:rPr>
          <w:rFonts w:cstheme="minorHAnsi"/>
          <w:sz w:val="24"/>
          <w:szCs w:val="24"/>
          <w:lang w:val="en" w:eastAsia="en-GB"/>
        </w:rPr>
        <w:t>55% Christian (2001 census = 68%)</w:t>
      </w:r>
    </w:p>
    <w:p w14:paraId="6146B27D" w14:textId="77777777" w:rsidR="003A493B" w:rsidRPr="0025614E" w:rsidRDefault="003A493B" w:rsidP="003A493B">
      <w:pPr>
        <w:spacing w:after="0"/>
        <w:rPr>
          <w:rFonts w:cstheme="minorHAnsi"/>
          <w:sz w:val="24"/>
          <w:szCs w:val="24"/>
          <w:lang w:val="en" w:eastAsia="en-GB"/>
        </w:rPr>
      </w:pPr>
      <w:r w:rsidRPr="0025614E">
        <w:rPr>
          <w:rFonts w:cstheme="minorHAnsi"/>
          <w:sz w:val="24"/>
          <w:szCs w:val="24"/>
          <w:lang w:val="en" w:eastAsia="en-GB"/>
        </w:rPr>
        <w:t>9% Sikh (2001 census = 7%)</w:t>
      </w:r>
    </w:p>
    <w:p w14:paraId="703A4D09" w14:textId="77777777" w:rsidR="003A493B" w:rsidRPr="0025614E" w:rsidRDefault="003A493B" w:rsidP="003A493B">
      <w:pPr>
        <w:spacing w:after="0"/>
        <w:rPr>
          <w:rFonts w:cstheme="minorHAnsi"/>
          <w:sz w:val="24"/>
          <w:szCs w:val="24"/>
          <w:lang w:val="en" w:eastAsia="en-GB"/>
        </w:rPr>
      </w:pPr>
      <w:r w:rsidRPr="0025614E">
        <w:rPr>
          <w:rFonts w:cstheme="minorHAnsi"/>
          <w:sz w:val="24"/>
          <w:szCs w:val="24"/>
          <w:lang w:val="en" w:eastAsia="en-GB"/>
        </w:rPr>
        <w:t>8% Muslim (2001 census = 5%)</w:t>
      </w:r>
    </w:p>
    <w:p w14:paraId="07AA3421" w14:textId="77777777" w:rsidR="003A493B" w:rsidRPr="0025614E" w:rsidRDefault="003A493B" w:rsidP="003A493B">
      <w:pPr>
        <w:spacing w:after="0"/>
        <w:rPr>
          <w:rFonts w:cstheme="minorHAnsi"/>
          <w:sz w:val="24"/>
          <w:szCs w:val="24"/>
          <w:lang w:val="en" w:eastAsia="en-GB"/>
        </w:rPr>
      </w:pPr>
      <w:r w:rsidRPr="0025614E">
        <w:rPr>
          <w:rFonts w:cstheme="minorHAnsi"/>
          <w:sz w:val="24"/>
          <w:szCs w:val="24"/>
          <w:lang w:val="en" w:eastAsia="en-GB"/>
        </w:rPr>
        <w:t xml:space="preserve">2% Hindu (2001 census = 2%) </w:t>
      </w:r>
    </w:p>
    <w:p w14:paraId="279E9228" w14:textId="77777777" w:rsidR="003A493B" w:rsidRPr="0025614E" w:rsidRDefault="003A493B" w:rsidP="003A493B">
      <w:pPr>
        <w:spacing w:after="0"/>
        <w:rPr>
          <w:rFonts w:cstheme="minorHAnsi"/>
          <w:sz w:val="24"/>
          <w:szCs w:val="24"/>
          <w:lang w:val="en" w:eastAsia="en-GB"/>
        </w:rPr>
      </w:pPr>
      <w:r w:rsidRPr="0025614E">
        <w:rPr>
          <w:rFonts w:cstheme="minorHAnsi"/>
          <w:sz w:val="24"/>
          <w:szCs w:val="24"/>
          <w:lang w:val="en" w:eastAsia="en-GB"/>
        </w:rPr>
        <w:t>19% as having no religion (2001 census = 11%)</w:t>
      </w:r>
    </w:p>
    <w:p w14:paraId="0959DCE7" w14:textId="77777777" w:rsidR="003A493B" w:rsidRPr="0025614E" w:rsidRDefault="003A493B" w:rsidP="003A493B">
      <w:pPr>
        <w:spacing w:after="0"/>
        <w:rPr>
          <w:rFonts w:cstheme="minorHAnsi"/>
          <w:sz w:val="24"/>
          <w:szCs w:val="24"/>
          <w:lang w:val="en" w:eastAsia="en-GB"/>
        </w:rPr>
      </w:pPr>
      <w:r w:rsidRPr="0025614E">
        <w:rPr>
          <w:rFonts w:cstheme="minorHAnsi"/>
          <w:sz w:val="24"/>
          <w:szCs w:val="24"/>
          <w:lang w:val="en" w:eastAsia="en-GB"/>
        </w:rPr>
        <w:t>7% as Unknown (2001 census = 6%)</w:t>
      </w:r>
    </w:p>
    <w:p w14:paraId="577C51A0" w14:textId="77777777" w:rsidR="003A493B" w:rsidRPr="0025614E" w:rsidRDefault="003A493B" w:rsidP="003A493B">
      <w:pPr>
        <w:spacing w:after="0"/>
        <w:rPr>
          <w:rFonts w:cstheme="minorHAnsi"/>
          <w:sz w:val="24"/>
          <w:szCs w:val="24"/>
          <w:lang w:val="en" w:eastAsia="en-GB"/>
        </w:rPr>
      </w:pPr>
    </w:p>
    <w:p w14:paraId="57543A72" w14:textId="75DF04E4" w:rsidR="003A493B" w:rsidRPr="0025614E" w:rsidRDefault="003A493B" w:rsidP="003A493B">
      <w:pPr>
        <w:spacing w:after="0"/>
        <w:jc w:val="both"/>
        <w:rPr>
          <w:rFonts w:cstheme="minorHAnsi"/>
          <w:sz w:val="24"/>
          <w:szCs w:val="24"/>
          <w:lang w:val="en" w:eastAsia="en-GB"/>
        </w:rPr>
      </w:pPr>
      <w:r w:rsidRPr="0025614E">
        <w:rPr>
          <w:rFonts w:cstheme="minorHAnsi"/>
          <w:sz w:val="24"/>
          <w:szCs w:val="24"/>
          <w:lang w:val="en" w:eastAsia="en-GB"/>
        </w:rPr>
        <w:t xml:space="preserve">As mentioned above, Sandwell has become more diverse and this </w:t>
      </w:r>
      <w:r w:rsidR="00DE27D6">
        <w:rPr>
          <w:rFonts w:cstheme="minorHAnsi"/>
          <w:sz w:val="24"/>
          <w:szCs w:val="24"/>
          <w:lang w:val="en" w:eastAsia="en-GB"/>
        </w:rPr>
        <w:t>was</w:t>
      </w:r>
      <w:r w:rsidRPr="0025614E">
        <w:rPr>
          <w:rFonts w:cstheme="minorHAnsi"/>
          <w:sz w:val="24"/>
          <w:szCs w:val="24"/>
          <w:lang w:val="en" w:eastAsia="en-GB"/>
        </w:rPr>
        <w:t xml:space="preserve"> also reflected in the changes to the proportions of religion.  </w:t>
      </w:r>
      <w:r>
        <w:rPr>
          <w:rFonts w:cstheme="minorHAnsi"/>
          <w:sz w:val="24"/>
          <w:szCs w:val="24"/>
          <w:lang w:val="en" w:eastAsia="en-GB"/>
        </w:rPr>
        <w:t xml:space="preserve">From 2001 to 2011; </w:t>
      </w:r>
      <w:r w:rsidRPr="0025614E">
        <w:rPr>
          <w:rFonts w:cstheme="minorHAnsi"/>
          <w:sz w:val="24"/>
          <w:szCs w:val="24"/>
          <w:lang w:val="en" w:eastAsia="en-GB"/>
        </w:rPr>
        <w:t>Christianity ha</w:t>
      </w:r>
      <w:r>
        <w:rPr>
          <w:rFonts w:cstheme="minorHAnsi"/>
          <w:sz w:val="24"/>
          <w:szCs w:val="24"/>
          <w:lang w:val="en" w:eastAsia="en-GB"/>
        </w:rPr>
        <w:t>d</w:t>
      </w:r>
      <w:r w:rsidRPr="0025614E">
        <w:rPr>
          <w:rFonts w:cstheme="minorHAnsi"/>
          <w:sz w:val="24"/>
          <w:szCs w:val="24"/>
          <w:lang w:val="en" w:eastAsia="en-GB"/>
        </w:rPr>
        <w:t xml:space="preserve"> reduced by 13% and those having no religion ha</w:t>
      </w:r>
      <w:r w:rsidR="00DE27D6">
        <w:rPr>
          <w:rFonts w:cstheme="minorHAnsi"/>
          <w:sz w:val="24"/>
          <w:szCs w:val="24"/>
          <w:lang w:val="en" w:eastAsia="en-GB"/>
        </w:rPr>
        <w:t>d</w:t>
      </w:r>
      <w:r w:rsidRPr="0025614E">
        <w:rPr>
          <w:rFonts w:cstheme="minorHAnsi"/>
          <w:sz w:val="24"/>
          <w:szCs w:val="24"/>
          <w:lang w:val="en" w:eastAsia="en-GB"/>
        </w:rPr>
        <w:t xml:space="preserve"> increased by 8%. Sikhs and Muslims ha</w:t>
      </w:r>
      <w:r>
        <w:rPr>
          <w:rFonts w:cstheme="minorHAnsi"/>
          <w:sz w:val="24"/>
          <w:szCs w:val="24"/>
          <w:lang w:val="en" w:eastAsia="en-GB"/>
        </w:rPr>
        <w:t>d</w:t>
      </w:r>
      <w:r w:rsidRPr="0025614E">
        <w:rPr>
          <w:rFonts w:cstheme="minorHAnsi"/>
          <w:sz w:val="24"/>
          <w:szCs w:val="24"/>
          <w:lang w:val="en" w:eastAsia="en-GB"/>
        </w:rPr>
        <w:t xml:space="preserve"> also increased.  </w:t>
      </w:r>
    </w:p>
    <w:p w14:paraId="041D9C2D" w14:textId="73B520B6" w:rsidR="00BD6487" w:rsidRPr="0025614E" w:rsidRDefault="003A493B" w:rsidP="00BD6487">
      <w:pPr>
        <w:spacing w:after="0" w:line="360" w:lineRule="auto"/>
        <w:rPr>
          <w:rFonts w:cs="Arial"/>
          <w:b/>
          <w:bCs/>
          <w:sz w:val="24"/>
          <w:szCs w:val="24"/>
        </w:rPr>
      </w:pPr>
      <w:r>
        <w:rPr>
          <w:rFonts w:eastAsiaTheme="majorEastAsia" w:cstheme="majorBidi"/>
          <w:noProof/>
          <w:color w:val="2F5496" w:themeColor="accent1" w:themeShade="BF"/>
          <w:sz w:val="24"/>
          <w:szCs w:val="24"/>
        </w:rPr>
        <w:drawing>
          <wp:anchor distT="0" distB="0" distL="114300" distR="114300" simplePos="0" relativeHeight="251659281" behindDoc="1" locked="0" layoutInCell="1" allowOverlap="1" wp14:anchorId="1B5762F8" wp14:editId="00E4EEF4">
            <wp:simplePos x="0" y="0"/>
            <wp:positionH relativeFrom="margin">
              <wp:posOffset>193675</wp:posOffset>
            </wp:positionH>
            <wp:positionV relativeFrom="paragraph">
              <wp:posOffset>276860</wp:posOffset>
            </wp:positionV>
            <wp:extent cx="4800600" cy="5077460"/>
            <wp:effectExtent l="19050" t="19050" r="19050" b="27940"/>
            <wp:wrapTight wrapText="bothSides">
              <wp:wrapPolygon edited="0">
                <wp:start x="-86" y="-81"/>
                <wp:lineTo x="-86" y="21638"/>
                <wp:lineTo x="21600" y="21638"/>
                <wp:lineTo x="21600" y="-81"/>
                <wp:lineTo x="-86" y="-8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00600" cy="5077460"/>
                    </a:xfrm>
                    <a:prstGeom prst="rect">
                      <a:avLst/>
                    </a:prstGeom>
                    <a:noFill/>
                    <a:ln w="1270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BD6487" w:rsidRPr="0025614E">
        <w:rPr>
          <w:rFonts w:cs="Arial"/>
          <w:b/>
          <w:bCs/>
          <w:sz w:val="24"/>
          <w:szCs w:val="24"/>
        </w:rPr>
        <w:t xml:space="preserve">Figure </w:t>
      </w:r>
      <w:r w:rsidR="00985731">
        <w:rPr>
          <w:rFonts w:cs="Arial"/>
          <w:b/>
          <w:bCs/>
          <w:sz w:val="24"/>
          <w:szCs w:val="24"/>
        </w:rPr>
        <w:t>4</w:t>
      </w:r>
      <w:r w:rsidR="00BD6487" w:rsidRPr="0025614E">
        <w:rPr>
          <w:rFonts w:cs="Arial"/>
          <w:b/>
          <w:bCs/>
          <w:sz w:val="24"/>
          <w:szCs w:val="24"/>
        </w:rPr>
        <w:t>.1</w:t>
      </w:r>
      <w:r w:rsidR="0025614E">
        <w:rPr>
          <w:rFonts w:cs="Arial"/>
          <w:b/>
          <w:bCs/>
          <w:sz w:val="24"/>
          <w:szCs w:val="24"/>
        </w:rPr>
        <w:t>:</w:t>
      </w:r>
      <w:r w:rsidR="00BD6487" w:rsidRPr="0025614E">
        <w:rPr>
          <w:rFonts w:cs="Arial"/>
          <w:b/>
          <w:bCs/>
          <w:sz w:val="24"/>
          <w:szCs w:val="24"/>
        </w:rPr>
        <w:t xml:space="preserve"> Sandwell Population by Ethnicity and Age </w:t>
      </w:r>
    </w:p>
    <w:p w14:paraId="019EBC36" w14:textId="3BBA4350"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422DD0E4" w14:textId="6C8982C4"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6D0AE4EC" w14:textId="74464B3A"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6AE7F329" w14:textId="069782DF"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40DA515A" w14:textId="6130CC5B"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66E936B4" w14:textId="2888FF84"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295C6DA1" w14:textId="0B6F0216"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3CAFABD5" w14:textId="3A5FD9CE" w:rsidR="00985731" w:rsidRDefault="00985731" w:rsidP="00863E67">
      <w:pPr>
        <w:pStyle w:val="ListParagraph"/>
        <w:spacing w:line="259" w:lineRule="auto"/>
        <w:contextualSpacing w:val="0"/>
        <w:rPr>
          <w:rFonts w:eastAsiaTheme="majorEastAsia" w:cstheme="majorBidi"/>
          <w:color w:val="2F5496" w:themeColor="accent1" w:themeShade="BF"/>
          <w:sz w:val="24"/>
          <w:szCs w:val="24"/>
        </w:rPr>
      </w:pPr>
    </w:p>
    <w:p w14:paraId="0A337BFF" w14:textId="7428960A" w:rsidR="00985731" w:rsidRDefault="00985731" w:rsidP="00863E67">
      <w:pPr>
        <w:pStyle w:val="ListParagraph"/>
        <w:spacing w:line="259" w:lineRule="auto"/>
        <w:contextualSpacing w:val="0"/>
        <w:rPr>
          <w:rFonts w:eastAsiaTheme="majorEastAsia" w:cstheme="majorBidi"/>
          <w:color w:val="2F5496" w:themeColor="accent1" w:themeShade="BF"/>
          <w:sz w:val="24"/>
          <w:szCs w:val="24"/>
        </w:rPr>
      </w:pPr>
    </w:p>
    <w:p w14:paraId="5410E482" w14:textId="271B3834" w:rsidR="00985731" w:rsidRDefault="00985731" w:rsidP="00863E67">
      <w:pPr>
        <w:pStyle w:val="ListParagraph"/>
        <w:spacing w:line="259" w:lineRule="auto"/>
        <w:contextualSpacing w:val="0"/>
        <w:rPr>
          <w:rFonts w:eastAsiaTheme="majorEastAsia" w:cstheme="majorBidi"/>
          <w:color w:val="2F5496" w:themeColor="accent1" w:themeShade="BF"/>
          <w:sz w:val="24"/>
          <w:szCs w:val="24"/>
        </w:rPr>
      </w:pPr>
    </w:p>
    <w:p w14:paraId="5A47E8B9" w14:textId="13B7E623" w:rsidR="00985731" w:rsidRDefault="00985731" w:rsidP="00863E67">
      <w:pPr>
        <w:pStyle w:val="ListParagraph"/>
        <w:spacing w:line="259" w:lineRule="auto"/>
        <w:contextualSpacing w:val="0"/>
        <w:rPr>
          <w:rFonts w:eastAsiaTheme="majorEastAsia" w:cstheme="majorBidi"/>
          <w:color w:val="2F5496" w:themeColor="accent1" w:themeShade="BF"/>
          <w:sz w:val="24"/>
          <w:szCs w:val="24"/>
        </w:rPr>
      </w:pPr>
    </w:p>
    <w:p w14:paraId="110499E5" w14:textId="77777777" w:rsidR="00985731" w:rsidRDefault="00985731" w:rsidP="00863E67">
      <w:pPr>
        <w:pStyle w:val="ListParagraph"/>
        <w:spacing w:line="259" w:lineRule="auto"/>
        <w:contextualSpacing w:val="0"/>
        <w:rPr>
          <w:rFonts w:eastAsiaTheme="majorEastAsia" w:cstheme="majorBidi"/>
          <w:color w:val="2F5496" w:themeColor="accent1" w:themeShade="BF"/>
          <w:sz w:val="24"/>
          <w:szCs w:val="24"/>
        </w:rPr>
      </w:pPr>
    </w:p>
    <w:p w14:paraId="7A089937" w14:textId="2EA0BC0A"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6921EA57" w14:textId="29B8E069"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54F55DE1" w14:textId="77777777" w:rsidR="0025614E" w:rsidRDefault="0025614E" w:rsidP="0025614E">
      <w:pPr>
        <w:spacing w:after="0"/>
        <w:jc w:val="both"/>
        <w:rPr>
          <w:rFonts w:eastAsiaTheme="majorEastAsia" w:cstheme="majorBidi"/>
        </w:rPr>
      </w:pPr>
    </w:p>
    <w:p w14:paraId="24C29055" w14:textId="77777777" w:rsidR="0025614E" w:rsidRDefault="0025614E" w:rsidP="0025614E">
      <w:pPr>
        <w:spacing w:after="0"/>
        <w:jc w:val="both"/>
        <w:rPr>
          <w:rFonts w:eastAsiaTheme="majorEastAsia" w:cstheme="majorBidi"/>
        </w:rPr>
      </w:pPr>
    </w:p>
    <w:p w14:paraId="2DD9D467" w14:textId="77777777" w:rsidR="0025614E" w:rsidRDefault="0025614E" w:rsidP="0025614E">
      <w:pPr>
        <w:spacing w:after="0"/>
        <w:jc w:val="both"/>
        <w:rPr>
          <w:rFonts w:eastAsiaTheme="majorEastAsia" w:cstheme="majorBidi"/>
        </w:rPr>
      </w:pPr>
    </w:p>
    <w:p w14:paraId="7E19283D" w14:textId="77777777" w:rsidR="0025614E" w:rsidRPr="0025614E" w:rsidRDefault="0025614E" w:rsidP="0025614E">
      <w:pPr>
        <w:spacing w:after="0"/>
        <w:jc w:val="both"/>
        <w:rPr>
          <w:rFonts w:cstheme="minorHAnsi"/>
          <w:sz w:val="24"/>
          <w:szCs w:val="24"/>
          <w:lang w:val="en" w:eastAsia="en-GB"/>
        </w:rPr>
      </w:pPr>
    </w:p>
    <w:p w14:paraId="507BB8EC" w14:textId="77777777" w:rsidR="0025614E" w:rsidRPr="0025614E" w:rsidRDefault="0025614E" w:rsidP="0025614E">
      <w:pPr>
        <w:spacing w:after="0"/>
        <w:jc w:val="both"/>
        <w:rPr>
          <w:rFonts w:cstheme="minorHAnsi"/>
          <w:sz w:val="24"/>
          <w:szCs w:val="24"/>
          <w:lang w:val="en" w:eastAsia="en-GB"/>
        </w:rPr>
      </w:pPr>
    </w:p>
    <w:p w14:paraId="7949192D" w14:textId="5EABFBA7"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346AA74A" w14:textId="717391A6"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7CBF8E2E" w14:textId="296FC488"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34A97E53" w14:textId="26F936A4"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3201AD0F" w14:textId="5155FFDB"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3D1517EE" w14:textId="1B44BA1B"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600B3C72" w14:textId="2A1AC18C"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5F7FF36C" w14:textId="5719030E" w:rsidR="00BD6487" w:rsidRDefault="00BD6487" w:rsidP="00863E67">
      <w:pPr>
        <w:pStyle w:val="ListParagraph"/>
        <w:spacing w:line="259" w:lineRule="auto"/>
        <w:contextualSpacing w:val="0"/>
        <w:rPr>
          <w:rFonts w:eastAsiaTheme="majorEastAsia" w:cstheme="majorBidi"/>
          <w:color w:val="2F5496" w:themeColor="accent1" w:themeShade="BF"/>
          <w:sz w:val="24"/>
          <w:szCs w:val="24"/>
        </w:rPr>
      </w:pPr>
    </w:p>
    <w:p w14:paraId="2D619C74" w14:textId="1A544872" w:rsidR="00BD6487" w:rsidRDefault="00BD6487" w:rsidP="00BD6487">
      <w:pPr>
        <w:spacing w:after="160" w:line="259" w:lineRule="auto"/>
        <w:rPr>
          <w:rFonts w:eastAsiaTheme="majorEastAsia" w:cstheme="majorBidi"/>
          <w:color w:val="2F5496" w:themeColor="accent1" w:themeShade="BF"/>
          <w:sz w:val="24"/>
          <w:szCs w:val="24"/>
        </w:rPr>
      </w:pPr>
    </w:p>
    <w:p w14:paraId="7412DF13" w14:textId="6DB7C398" w:rsidR="001A6688" w:rsidRDefault="001A6688">
      <w:pPr>
        <w:spacing w:after="160" w:line="259" w:lineRule="auto"/>
        <w:rPr>
          <w:rFonts w:eastAsiaTheme="majorEastAsia" w:cstheme="majorBidi"/>
          <w:color w:val="2F5496" w:themeColor="accent1" w:themeShade="BF"/>
          <w:sz w:val="24"/>
          <w:szCs w:val="24"/>
        </w:rPr>
      </w:pPr>
    </w:p>
    <w:p w14:paraId="3DD79847" w14:textId="12F9B197" w:rsidR="001A6688" w:rsidRDefault="001A6688">
      <w:pPr>
        <w:spacing w:after="160" w:line="259" w:lineRule="auto"/>
        <w:rPr>
          <w:rFonts w:eastAsiaTheme="majorEastAsia" w:cstheme="majorBidi"/>
          <w:color w:val="2F5496" w:themeColor="accent1" w:themeShade="BF"/>
          <w:sz w:val="24"/>
          <w:szCs w:val="24"/>
        </w:rPr>
      </w:pPr>
    </w:p>
    <w:p w14:paraId="101EA083" w14:textId="02006CFA" w:rsidR="001A6688" w:rsidRDefault="001A6688">
      <w:pPr>
        <w:spacing w:after="160" w:line="259" w:lineRule="auto"/>
        <w:rPr>
          <w:rFonts w:eastAsiaTheme="majorEastAsia" w:cstheme="majorBidi"/>
          <w:color w:val="2F5496" w:themeColor="accent1" w:themeShade="BF"/>
          <w:sz w:val="24"/>
          <w:szCs w:val="24"/>
        </w:rPr>
      </w:pPr>
    </w:p>
    <w:p w14:paraId="65616CD0" w14:textId="65985808" w:rsidR="001A6688" w:rsidRDefault="001A6688">
      <w:pPr>
        <w:spacing w:after="160" w:line="259" w:lineRule="auto"/>
        <w:rPr>
          <w:rFonts w:eastAsiaTheme="majorEastAsia" w:cstheme="majorBidi"/>
          <w:color w:val="2F5496" w:themeColor="accent1" w:themeShade="BF"/>
          <w:sz w:val="24"/>
          <w:szCs w:val="24"/>
        </w:rPr>
      </w:pPr>
    </w:p>
    <w:p w14:paraId="18258E53" w14:textId="1D0D1578" w:rsidR="00E74157" w:rsidRDefault="00711029" w:rsidP="001A6688">
      <w:pPr>
        <w:spacing w:after="160" w:line="259" w:lineRule="auto"/>
        <w:rPr>
          <w:rFonts w:eastAsiaTheme="majorEastAsia" w:cstheme="majorBidi"/>
          <w:color w:val="2F5496" w:themeColor="accent1" w:themeShade="BF"/>
          <w:sz w:val="32"/>
          <w:szCs w:val="32"/>
        </w:rPr>
      </w:pPr>
      <w:r>
        <w:rPr>
          <w:rFonts w:eastAsiaTheme="majorEastAsia" w:cstheme="majorBidi"/>
          <w:color w:val="2F5496" w:themeColor="accent1" w:themeShade="BF"/>
          <w:sz w:val="32"/>
          <w:szCs w:val="32"/>
        </w:rPr>
        <w:t>5 – 19/25 Years</w:t>
      </w:r>
      <w:r w:rsidR="00536062">
        <w:rPr>
          <w:rFonts w:eastAsiaTheme="majorEastAsia" w:cstheme="majorBidi"/>
          <w:color w:val="2F5496" w:themeColor="accent1" w:themeShade="BF"/>
          <w:sz w:val="32"/>
          <w:szCs w:val="32"/>
        </w:rPr>
        <w:t xml:space="preserve">: </w:t>
      </w:r>
      <w:r w:rsidR="00E74157" w:rsidRPr="00536062">
        <w:rPr>
          <w:rFonts w:eastAsiaTheme="majorEastAsia" w:cstheme="majorBidi"/>
          <w:color w:val="2F5496" w:themeColor="accent1" w:themeShade="BF"/>
          <w:sz w:val="32"/>
          <w:szCs w:val="32"/>
        </w:rPr>
        <w:t>Overview</w:t>
      </w:r>
    </w:p>
    <w:p w14:paraId="4526C668" w14:textId="596BF9C4" w:rsidR="00985731" w:rsidRDefault="00985731" w:rsidP="00985731">
      <w:pPr>
        <w:rPr>
          <w:rFonts w:cs="Arial"/>
          <w:b/>
          <w:bCs/>
          <w:sz w:val="24"/>
          <w:szCs w:val="24"/>
        </w:rPr>
      </w:pPr>
      <w:r>
        <w:rPr>
          <w:rFonts w:eastAsiaTheme="majorEastAsia" w:cstheme="majorBidi"/>
          <w:noProof/>
          <w:color w:val="2F5496" w:themeColor="accent1" w:themeShade="BF"/>
          <w:sz w:val="32"/>
          <w:szCs w:val="32"/>
        </w:rPr>
        <mc:AlternateContent>
          <mc:Choice Requires="wpg">
            <w:drawing>
              <wp:anchor distT="0" distB="0" distL="114300" distR="114300" simplePos="0" relativeHeight="251658257" behindDoc="0" locked="0" layoutInCell="1" allowOverlap="1" wp14:anchorId="7CDDE33B" wp14:editId="1600F063">
                <wp:simplePos x="0" y="0"/>
                <wp:positionH relativeFrom="margin">
                  <wp:align>left</wp:align>
                </wp:positionH>
                <wp:positionV relativeFrom="paragraph">
                  <wp:posOffset>283383</wp:posOffset>
                </wp:positionV>
                <wp:extent cx="5777230" cy="4742180"/>
                <wp:effectExtent l="0" t="0" r="0" b="1270"/>
                <wp:wrapTight wrapText="bothSides">
                  <wp:wrapPolygon edited="0">
                    <wp:start x="0" y="0"/>
                    <wp:lineTo x="0" y="21519"/>
                    <wp:lineTo x="21510" y="21519"/>
                    <wp:lineTo x="21510" y="0"/>
                    <wp:lineTo x="0" y="0"/>
                  </wp:wrapPolygon>
                </wp:wrapTight>
                <wp:docPr id="247" name="Group 247"/>
                <wp:cNvGraphicFramePr/>
                <a:graphic xmlns:a="http://schemas.openxmlformats.org/drawingml/2006/main">
                  <a:graphicData uri="http://schemas.microsoft.com/office/word/2010/wordprocessingGroup">
                    <wpg:wgp>
                      <wpg:cNvGrpSpPr/>
                      <wpg:grpSpPr>
                        <a:xfrm>
                          <a:off x="0" y="0"/>
                          <a:ext cx="5777230" cy="4742180"/>
                          <a:chOff x="0" y="0"/>
                          <a:chExt cx="5777230" cy="4742180"/>
                        </a:xfrm>
                      </wpg:grpSpPr>
                      <pic:pic xmlns:pic="http://schemas.openxmlformats.org/drawingml/2006/picture">
                        <pic:nvPicPr>
                          <pic:cNvPr id="248" name="Picture 248"/>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0875" cy="438785"/>
                          </a:xfrm>
                          <a:prstGeom prst="rect">
                            <a:avLst/>
                          </a:prstGeom>
                          <a:noFill/>
                        </pic:spPr>
                      </pic:pic>
                      <pic:pic xmlns:pic="http://schemas.openxmlformats.org/drawingml/2006/picture">
                        <pic:nvPicPr>
                          <pic:cNvPr id="249" name="Picture 249"/>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45720" y="4114800"/>
                            <a:ext cx="5731510" cy="627380"/>
                          </a:xfrm>
                          <a:prstGeom prst="rect">
                            <a:avLst/>
                          </a:prstGeom>
                        </pic:spPr>
                      </pic:pic>
                      <pic:pic xmlns:pic="http://schemas.openxmlformats.org/drawingml/2006/picture">
                        <pic:nvPicPr>
                          <pic:cNvPr id="250" name="Picture 250"/>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7620" y="472440"/>
                            <a:ext cx="5736590" cy="3499485"/>
                          </a:xfrm>
                          <a:prstGeom prst="rect">
                            <a:avLst/>
                          </a:prstGeom>
                          <a:noFill/>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362A959B">
              <v:group id="Group 247" style="position:absolute;margin-left:0;margin-top:22.3pt;width:454.9pt;height:373.4pt;z-index:251658257;mso-position-horizontal:left;mso-position-horizontal-relative:margin" coordsize="57772,47421" o:spid="_x0000_s1026" w14:anchorId="4F8CBEA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">
                <v:shape id="Picture 248" style="position:absolute;width:57308;height:438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">
                  <v:imagedata o:title="" r:id="rId110"/>
                </v:shape>
                <v:shape id="Picture 249" style="position:absolute;left:457;top:41148;width:57315;height:62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">
                  <v:imagedata o:title="" r:id="rId111"/>
                </v:shape>
                <v:shape id="Picture 250" style="position:absolute;left:76;top:4724;width:57366;height:3499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">
                  <v:imagedata o:title="" r:id="rId112"/>
                </v:shape>
                <w10:wrap type="tight" anchorx="margin"/>
              </v:group>
            </w:pict>
          </mc:Fallback>
        </mc:AlternateContent>
      </w:r>
      <w:r w:rsidRPr="3B5889E1">
        <w:rPr>
          <w:rFonts w:cs="Arial"/>
          <w:b/>
          <w:bCs/>
          <w:sz w:val="24"/>
          <w:szCs w:val="24"/>
        </w:rPr>
        <w:t>Figure 4.</w:t>
      </w:r>
      <w:r>
        <w:rPr>
          <w:rFonts w:cs="Arial"/>
          <w:b/>
          <w:bCs/>
          <w:sz w:val="24"/>
          <w:szCs w:val="24"/>
        </w:rPr>
        <w:t>2</w:t>
      </w:r>
      <w:r w:rsidRPr="3B5889E1">
        <w:rPr>
          <w:rFonts w:cs="Arial"/>
          <w:b/>
          <w:bCs/>
          <w:sz w:val="24"/>
          <w:szCs w:val="24"/>
        </w:rPr>
        <w:t xml:space="preserve">: </w:t>
      </w:r>
      <w:r>
        <w:rPr>
          <w:rFonts w:cs="Arial"/>
          <w:b/>
          <w:bCs/>
          <w:sz w:val="24"/>
          <w:szCs w:val="24"/>
        </w:rPr>
        <w:t>Sandwell Overview - Indicators</w:t>
      </w:r>
    </w:p>
    <w:p w14:paraId="154BE3F0" w14:textId="75C8B77B" w:rsidR="00E74157" w:rsidRDefault="00F00F28" w:rsidP="00F00F28">
      <w:pPr>
        <w:pStyle w:val="ListParagraph"/>
        <w:spacing w:line="259" w:lineRule="auto"/>
        <w:ind w:left="0"/>
        <w:contextualSpacing w:val="0"/>
        <w:rPr>
          <w:rFonts w:eastAsiaTheme="majorEastAsia" w:cstheme="majorBidi"/>
          <w:color w:val="2F5496" w:themeColor="accent1" w:themeShade="BF"/>
        </w:rPr>
      </w:pPr>
      <w:r w:rsidRPr="00B913C4">
        <w:rPr>
          <w:rFonts w:eastAsiaTheme="majorEastAsia" w:cstheme="majorBidi"/>
          <w:color w:val="2F5496" w:themeColor="accent1" w:themeShade="BF"/>
        </w:rPr>
        <w:t>Source: Office for Health</w:t>
      </w:r>
      <w:r w:rsidR="00B913C4" w:rsidRPr="00B913C4">
        <w:rPr>
          <w:rFonts w:eastAsiaTheme="majorEastAsia" w:cstheme="majorBidi"/>
          <w:color w:val="2F5496" w:themeColor="accent1" w:themeShade="BF"/>
        </w:rPr>
        <w:t xml:space="preserve"> I</w:t>
      </w:r>
      <w:r w:rsidRPr="00B913C4">
        <w:rPr>
          <w:rFonts w:eastAsiaTheme="majorEastAsia" w:cstheme="majorBidi"/>
          <w:color w:val="2F5496" w:themeColor="accent1" w:themeShade="BF"/>
        </w:rPr>
        <w:t>mprovement and Disparities, Fingertips</w:t>
      </w:r>
    </w:p>
    <w:p w14:paraId="4514E6F5" w14:textId="4DED2F54" w:rsidR="002A1B6B" w:rsidRDefault="002A1B6B" w:rsidP="00F00F28">
      <w:pPr>
        <w:pStyle w:val="ListParagraph"/>
        <w:spacing w:line="259" w:lineRule="auto"/>
        <w:ind w:left="0"/>
        <w:contextualSpacing w:val="0"/>
        <w:rPr>
          <w:rFonts w:eastAsiaTheme="majorEastAsia" w:cstheme="majorBidi"/>
          <w:color w:val="2F5496" w:themeColor="accent1" w:themeShade="BF"/>
        </w:rPr>
      </w:pPr>
    </w:p>
    <w:p w14:paraId="1701262E" w14:textId="15197FAD" w:rsidR="0005361F" w:rsidRPr="0025614E" w:rsidRDefault="0005361F" w:rsidP="0005361F">
      <w:pPr>
        <w:spacing w:line="259" w:lineRule="auto"/>
        <w:rPr>
          <w:rFonts w:cstheme="minorHAnsi"/>
          <w:sz w:val="24"/>
          <w:szCs w:val="24"/>
          <w:lang w:val="en" w:eastAsia="en-GB"/>
        </w:rPr>
      </w:pPr>
      <w:r w:rsidRPr="0025614E">
        <w:rPr>
          <w:rFonts w:cstheme="minorHAnsi"/>
          <w:sz w:val="24"/>
          <w:szCs w:val="24"/>
          <w:lang w:val="en" w:eastAsia="en-GB"/>
        </w:rPr>
        <w:t xml:space="preserve">For Sandwell to become prosperous, the children who become young adults need to achieve in school or work placement, and be supported to develop wider skills and aspirations, leading to being healthy both physically and mentally. </w:t>
      </w:r>
    </w:p>
    <w:p w14:paraId="2222783F" w14:textId="77777777" w:rsidR="0005361F" w:rsidRPr="0025614E" w:rsidRDefault="0005361F" w:rsidP="0005361F">
      <w:pPr>
        <w:spacing w:line="259" w:lineRule="auto"/>
        <w:rPr>
          <w:rFonts w:cstheme="minorHAnsi"/>
          <w:sz w:val="24"/>
          <w:szCs w:val="24"/>
          <w:lang w:val="en" w:eastAsia="en-GB"/>
        </w:rPr>
      </w:pPr>
      <w:r w:rsidRPr="0025614E">
        <w:rPr>
          <w:rFonts w:cstheme="minorHAnsi"/>
          <w:sz w:val="24"/>
          <w:szCs w:val="24"/>
          <w:lang w:val="en" w:eastAsia="en-GB"/>
        </w:rPr>
        <w:t xml:space="preserve">For Sandwell Council to nurture these aspiring young adults, there needs to be good quality education and enabling environments against risk factors. </w:t>
      </w:r>
    </w:p>
    <w:p w14:paraId="1F6BD1F2" w14:textId="77777777" w:rsidR="0005361F" w:rsidRPr="0025614E" w:rsidRDefault="0005361F" w:rsidP="0005361F">
      <w:pPr>
        <w:pStyle w:val="ListParagraph"/>
        <w:spacing w:line="259" w:lineRule="auto"/>
        <w:ind w:left="0"/>
        <w:rPr>
          <w:rFonts w:cstheme="minorHAnsi"/>
          <w:sz w:val="24"/>
          <w:szCs w:val="24"/>
          <w:lang w:val="en" w:eastAsia="en-GB"/>
        </w:rPr>
      </w:pPr>
      <w:r w:rsidRPr="0025614E">
        <w:rPr>
          <w:rFonts w:cstheme="minorHAnsi"/>
          <w:sz w:val="24"/>
          <w:szCs w:val="24"/>
          <w:lang w:val="en" w:eastAsia="en-GB"/>
        </w:rPr>
        <w:t>School readiness reception to year 1 (4-5yrs):</w:t>
      </w:r>
    </w:p>
    <w:p w14:paraId="0661E837" w14:textId="77777777" w:rsidR="0005361F" w:rsidRPr="0025614E" w:rsidRDefault="0005361F" w:rsidP="0005361F">
      <w:pPr>
        <w:spacing w:line="259" w:lineRule="auto"/>
        <w:rPr>
          <w:rFonts w:cstheme="minorHAnsi"/>
          <w:sz w:val="24"/>
          <w:szCs w:val="24"/>
          <w:lang w:val="en" w:eastAsia="en-GB"/>
        </w:rPr>
      </w:pPr>
      <w:r w:rsidRPr="0025614E">
        <w:rPr>
          <w:rFonts w:cstheme="minorHAnsi"/>
          <w:sz w:val="24"/>
          <w:szCs w:val="24"/>
          <w:lang w:val="en" w:eastAsia="en-GB"/>
        </w:rPr>
        <w:t>As mentioned previously, in 2018/19 in Sandwell only 2 in 3 (66.8) of children achieved a good level of development at the end of reception year. This is lower than the national average of 71.8%, this 5% difference is the equivalent of 156 less children in Sandwell than at national levels.</w:t>
      </w:r>
    </w:p>
    <w:p w14:paraId="6F5A058E" w14:textId="77777777" w:rsidR="00F53514" w:rsidRDefault="00F53514">
      <w:pPr>
        <w:spacing w:after="160" w:line="259" w:lineRule="auto"/>
        <w:rPr>
          <w:rFonts w:eastAsiaTheme="majorEastAsia" w:cstheme="majorBidi"/>
          <w:color w:val="2F5496" w:themeColor="accent1" w:themeShade="BF"/>
          <w:sz w:val="26"/>
          <w:szCs w:val="26"/>
          <w:lang w:val="en-US"/>
        </w:rPr>
      </w:pPr>
      <w:r>
        <w:rPr>
          <w:lang w:val="en-US"/>
        </w:rPr>
        <w:br w:type="page"/>
      </w:r>
    </w:p>
    <w:p w14:paraId="75163B67" w14:textId="636F0156" w:rsidR="0005361F" w:rsidRPr="0005361F" w:rsidRDefault="0005361F" w:rsidP="0005361F">
      <w:pPr>
        <w:pStyle w:val="Heading2"/>
        <w:rPr>
          <w:lang w:val="en-US"/>
        </w:rPr>
      </w:pPr>
      <w:r w:rsidRPr="0005361F">
        <w:rPr>
          <w:lang w:val="en-US"/>
        </w:rPr>
        <w:t xml:space="preserve">Child health and </w:t>
      </w:r>
      <w:r w:rsidR="0019592F">
        <w:rPr>
          <w:lang w:val="en-US"/>
        </w:rPr>
        <w:t>behaviours</w:t>
      </w:r>
      <w:r w:rsidRPr="0005361F">
        <w:rPr>
          <w:lang w:val="en-US"/>
        </w:rPr>
        <w:t xml:space="preserve"> </w:t>
      </w:r>
    </w:p>
    <w:p w14:paraId="41E2D0D7" w14:textId="5E1F4E74" w:rsidR="003A493B" w:rsidRDefault="0005361F" w:rsidP="003A493B">
      <w:pPr>
        <w:rPr>
          <w:color w:val="2F5496" w:themeColor="accent1" w:themeShade="BF"/>
          <w:sz w:val="26"/>
          <w:szCs w:val="26"/>
        </w:rPr>
      </w:pPr>
      <w:r w:rsidRPr="0025614E">
        <w:rPr>
          <w:color w:val="2F5496" w:themeColor="accent1" w:themeShade="BF"/>
          <w:sz w:val="26"/>
          <w:szCs w:val="26"/>
        </w:rPr>
        <w:t>Healthy weight</w:t>
      </w:r>
      <w:r w:rsidR="003A493B">
        <w:rPr>
          <w:color w:val="2F5496" w:themeColor="accent1" w:themeShade="BF"/>
          <w:sz w:val="26"/>
          <w:szCs w:val="26"/>
        </w:rPr>
        <w:t>:</w:t>
      </w:r>
    </w:p>
    <w:p w14:paraId="70F1CBD0" w14:textId="26C8F13E" w:rsidR="0005361F" w:rsidRPr="0025614E" w:rsidRDefault="0005361F" w:rsidP="003A493B">
      <w:pPr>
        <w:spacing w:line="259" w:lineRule="auto"/>
        <w:rPr>
          <w:rFonts w:cstheme="minorHAnsi"/>
          <w:sz w:val="24"/>
          <w:szCs w:val="24"/>
          <w:lang w:val="en" w:eastAsia="en-GB"/>
        </w:rPr>
      </w:pPr>
      <w:r w:rsidRPr="0025614E">
        <w:rPr>
          <w:rFonts w:cstheme="minorHAnsi"/>
          <w:sz w:val="24"/>
          <w:szCs w:val="24"/>
          <w:lang w:val="en" w:eastAsia="en-GB"/>
        </w:rPr>
        <w:t>Children who are obese having a tenfold risk of being an obese adult, there is national concern about the rise of childhood obesity. The risk of obesity in adulthood increases with age, an obese child at 13 is more likely to become an obese adult than an obese 5 year old. The health consequences of childhood obesity include; glucose intolerance, Type 2 diabetes, hypertension, exacerbation of conditions such as asthma and psychological problems such as social isolation, low self-esteem, teasing and bullying.</w:t>
      </w:r>
    </w:p>
    <w:p w14:paraId="0724CBE6" w14:textId="77777777" w:rsidR="0005361F" w:rsidRPr="0025614E" w:rsidRDefault="0005361F" w:rsidP="0025614E">
      <w:pPr>
        <w:spacing w:line="259" w:lineRule="auto"/>
        <w:rPr>
          <w:rFonts w:cstheme="minorHAnsi"/>
          <w:sz w:val="24"/>
          <w:szCs w:val="24"/>
          <w:lang w:val="en" w:eastAsia="en-GB"/>
        </w:rPr>
      </w:pPr>
      <w:r w:rsidRPr="0025614E">
        <w:rPr>
          <w:rFonts w:cstheme="minorHAnsi"/>
          <w:sz w:val="24"/>
          <w:szCs w:val="24"/>
          <w:lang w:val="en" w:eastAsia="en-GB"/>
        </w:rPr>
        <w:t xml:space="preserve">The proportion of children who are overweight or obese in Sandwell is slightly higher than the national average in both reception year and year 6. In reception year in Sandwell the proportion of children who are overweight (including obese) at reception and year 6 are 12.6% and 28.5% compared to 9.9% and 21.0% nationally. Locally the proportion of children who are overweight (inc obese) in reception have remained stable fluctuating between 11.1% and 13% increasing slightly in year 6. This is similar to the national trend. </w:t>
      </w:r>
    </w:p>
    <w:p w14:paraId="29AEE83C" w14:textId="77777777" w:rsidR="0005361F" w:rsidRPr="0025614E" w:rsidRDefault="0005361F" w:rsidP="0025614E">
      <w:pPr>
        <w:spacing w:line="259" w:lineRule="auto"/>
        <w:rPr>
          <w:rFonts w:cstheme="minorHAnsi"/>
          <w:sz w:val="24"/>
          <w:szCs w:val="24"/>
          <w:lang w:val="en" w:eastAsia="en-GB"/>
        </w:rPr>
      </w:pPr>
      <w:r w:rsidRPr="0025614E">
        <w:rPr>
          <w:rFonts w:cstheme="minorHAnsi"/>
          <w:sz w:val="24"/>
          <w:szCs w:val="24"/>
          <w:lang w:val="en" w:eastAsia="en-GB"/>
        </w:rPr>
        <w:t>Public Health Commission the school nursing programme which is mandated to measure children in reception and year 6. This service supports families with advice and sign posting for those that are found to be overweight or obese. In addition to school nursing Public Health commission a lead who supports the development of health content in the Personal Health and Social education (PHSE).</w:t>
      </w:r>
    </w:p>
    <w:p w14:paraId="361009AF" w14:textId="37FB912B" w:rsidR="0005361F" w:rsidRPr="0025614E" w:rsidRDefault="3A539BEF" w:rsidP="0025614E">
      <w:pPr>
        <w:spacing w:line="259" w:lineRule="auto"/>
        <w:rPr>
          <w:rFonts w:cstheme="minorHAnsi"/>
          <w:sz w:val="24"/>
          <w:szCs w:val="24"/>
          <w:lang w:val="en" w:eastAsia="en-GB"/>
        </w:rPr>
      </w:pPr>
      <w:r w:rsidRPr="0025614E">
        <w:rPr>
          <w:rFonts w:cstheme="minorHAnsi"/>
          <w:sz w:val="24"/>
          <w:szCs w:val="24"/>
          <w:lang w:val="en" w:eastAsia="en-GB"/>
        </w:rPr>
        <w:t xml:space="preserve">There are also a number of funded activity programmes across schools encouraging healthy lifestyles including healthy food choices, increasing physical activities and many sporting events to encourage children and young people into sports and activities. More a plan throughout the Common Wealth Games with legacy events. </w:t>
      </w:r>
    </w:p>
    <w:p w14:paraId="205047C8" w14:textId="77777777" w:rsidR="0005361F" w:rsidRPr="0025614E" w:rsidRDefault="0005361F" w:rsidP="0025614E">
      <w:pPr>
        <w:spacing w:line="259" w:lineRule="auto"/>
        <w:rPr>
          <w:rFonts w:cstheme="minorHAnsi"/>
          <w:sz w:val="24"/>
          <w:szCs w:val="24"/>
          <w:lang w:val="en" w:eastAsia="en-GB"/>
        </w:rPr>
      </w:pPr>
      <w:r w:rsidRPr="0025614E">
        <w:rPr>
          <w:rFonts w:cstheme="minorHAnsi"/>
          <w:sz w:val="24"/>
          <w:szCs w:val="24"/>
          <w:lang w:val="en" w:eastAsia="en-GB"/>
        </w:rPr>
        <w:t xml:space="preserve">Additionally, water activities have also been funded by Public Health which has continued to be commissioned with an expansion of free swimming lessons to increase activity in light of the new Aquatics Centre being built in Sandwell and increasing water safety </w:t>
      </w:r>
    </w:p>
    <w:p w14:paraId="5A6D19AF" w14:textId="141E81AE" w:rsidR="0005361F" w:rsidRDefault="3A539BEF" w:rsidP="3B5889E1">
      <w:pPr>
        <w:rPr>
          <w:rFonts w:cs="Arial"/>
          <w:b/>
          <w:bCs/>
          <w:sz w:val="24"/>
          <w:szCs w:val="24"/>
        </w:rPr>
      </w:pPr>
      <w:r w:rsidRPr="3B5889E1">
        <w:rPr>
          <w:rFonts w:cs="Arial"/>
          <w:b/>
          <w:bCs/>
          <w:sz w:val="24"/>
          <w:szCs w:val="24"/>
        </w:rPr>
        <w:t xml:space="preserve">Figure </w:t>
      </w:r>
      <w:r w:rsidR="347137AD" w:rsidRPr="3B5889E1">
        <w:rPr>
          <w:rFonts w:cs="Arial"/>
          <w:b/>
          <w:bCs/>
          <w:sz w:val="24"/>
          <w:szCs w:val="24"/>
        </w:rPr>
        <w:t>4.</w:t>
      </w:r>
      <w:r w:rsidR="00985731">
        <w:rPr>
          <w:rFonts w:cs="Arial"/>
          <w:b/>
          <w:bCs/>
          <w:sz w:val="24"/>
          <w:szCs w:val="24"/>
        </w:rPr>
        <w:t>3</w:t>
      </w:r>
      <w:r w:rsidRPr="3B5889E1">
        <w:rPr>
          <w:rFonts w:cs="Arial"/>
          <w:b/>
          <w:bCs/>
          <w:sz w:val="24"/>
          <w:szCs w:val="24"/>
        </w:rPr>
        <w:t>: Prevalence of obesity in Reception aged children</w:t>
      </w:r>
    </w:p>
    <w:p w14:paraId="450C3F6C" w14:textId="1851E1F4" w:rsidR="0005361F" w:rsidRPr="0005361F" w:rsidRDefault="0005361F" w:rsidP="0005361F">
      <w:pPr>
        <w:rPr>
          <w:rFonts w:eastAsiaTheme="majorEastAsia"/>
        </w:rPr>
      </w:pPr>
      <w:r w:rsidRPr="0005361F">
        <w:rPr>
          <w:rFonts w:eastAsiaTheme="majorEastAsia" w:cstheme="majorBidi"/>
          <w:noProof/>
          <w:color w:val="2F5496" w:themeColor="accent1" w:themeShade="BF"/>
        </w:rPr>
        <w:drawing>
          <wp:inline distT="0" distB="0" distL="0" distR="0" wp14:anchorId="1855FE59" wp14:editId="360B525B">
            <wp:extent cx="5724525" cy="2635331"/>
            <wp:effectExtent l="19050" t="19050" r="952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7616" t="24818" r="17405" b="22001"/>
                    <a:stretch/>
                  </pic:blipFill>
                  <pic:spPr bwMode="auto">
                    <a:xfrm>
                      <a:off x="0" y="0"/>
                      <a:ext cx="5738929" cy="26419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F41F4A" w14:textId="52C1ADB5" w:rsidR="003A493B" w:rsidRDefault="003A493B" w:rsidP="0005361F">
      <w:pPr>
        <w:spacing w:line="259" w:lineRule="auto"/>
        <w:rPr>
          <w:rFonts w:cs="Arial"/>
          <w:b/>
          <w:bCs/>
          <w:sz w:val="24"/>
          <w:szCs w:val="24"/>
        </w:rPr>
      </w:pPr>
      <w:r w:rsidRPr="0005361F">
        <w:rPr>
          <w:rFonts w:eastAsiaTheme="majorEastAsia" w:cstheme="majorBidi"/>
          <w:noProof/>
          <w:color w:val="2F5496" w:themeColor="accent1" w:themeShade="BF"/>
        </w:rPr>
        <w:drawing>
          <wp:anchor distT="0" distB="0" distL="114300" distR="114300" simplePos="0" relativeHeight="251660305" behindDoc="1" locked="0" layoutInCell="1" allowOverlap="1" wp14:anchorId="1C324758" wp14:editId="6B31E686">
            <wp:simplePos x="0" y="0"/>
            <wp:positionH relativeFrom="margin">
              <wp:align>left</wp:align>
            </wp:positionH>
            <wp:positionV relativeFrom="paragraph">
              <wp:posOffset>290657</wp:posOffset>
            </wp:positionV>
            <wp:extent cx="5731510" cy="2515235"/>
            <wp:effectExtent l="19050" t="19050" r="21590" b="18415"/>
            <wp:wrapTight wrapText="bothSides">
              <wp:wrapPolygon edited="0">
                <wp:start x="-72" y="-164"/>
                <wp:lineTo x="-72" y="21595"/>
                <wp:lineTo x="21610" y="21595"/>
                <wp:lineTo x="21610" y="-164"/>
                <wp:lineTo x="-72" y="-16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l="16951" t="38410" r="16409" b="9592"/>
                    <a:stretch/>
                  </pic:blipFill>
                  <pic:spPr bwMode="auto">
                    <a:xfrm>
                      <a:off x="0" y="0"/>
                      <a:ext cx="5731510" cy="251523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3A539BEF" w:rsidRPr="3B5889E1">
        <w:rPr>
          <w:rFonts w:cs="Arial"/>
          <w:b/>
          <w:bCs/>
          <w:sz w:val="24"/>
          <w:szCs w:val="24"/>
        </w:rPr>
        <w:t xml:space="preserve">Figure </w:t>
      </w:r>
      <w:r w:rsidR="347137AD" w:rsidRPr="3B5889E1">
        <w:rPr>
          <w:rFonts w:cs="Arial"/>
          <w:b/>
          <w:bCs/>
          <w:sz w:val="24"/>
          <w:szCs w:val="24"/>
        </w:rPr>
        <w:t>4.</w:t>
      </w:r>
      <w:r w:rsidR="00985731">
        <w:rPr>
          <w:rFonts w:cs="Arial"/>
          <w:b/>
          <w:bCs/>
          <w:sz w:val="24"/>
          <w:szCs w:val="24"/>
        </w:rPr>
        <w:t>4</w:t>
      </w:r>
      <w:r w:rsidR="3A539BEF" w:rsidRPr="3B5889E1">
        <w:rPr>
          <w:rFonts w:cs="Arial"/>
          <w:b/>
          <w:bCs/>
          <w:sz w:val="24"/>
          <w:szCs w:val="24"/>
        </w:rPr>
        <w:t>: Prevalence of obesity in year 6 children</w:t>
      </w:r>
    </w:p>
    <w:p w14:paraId="1E9E054B" w14:textId="77777777" w:rsidR="003A493B" w:rsidRDefault="0005361F" w:rsidP="003A493B">
      <w:pPr>
        <w:spacing w:line="259" w:lineRule="auto"/>
        <w:rPr>
          <w:rFonts w:cs="Arial"/>
          <w:b/>
          <w:sz w:val="24"/>
          <w:szCs w:val="24"/>
        </w:rPr>
      </w:pPr>
      <w:r w:rsidRPr="0005361F">
        <w:rPr>
          <w:rFonts w:cs="Arial"/>
          <w:b/>
          <w:sz w:val="24"/>
          <w:szCs w:val="24"/>
        </w:rPr>
        <w:t xml:space="preserve"> </w:t>
      </w:r>
    </w:p>
    <w:p w14:paraId="10763A46" w14:textId="17AE8E83" w:rsidR="00F53514" w:rsidRDefault="00F53514" w:rsidP="003A493B">
      <w:pPr>
        <w:spacing w:line="259" w:lineRule="auto"/>
        <w:rPr>
          <w:color w:val="2F5496" w:themeColor="accent1" w:themeShade="BF"/>
          <w:sz w:val="26"/>
          <w:szCs w:val="26"/>
        </w:rPr>
      </w:pPr>
      <w:r w:rsidRPr="0025614E">
        <w:rPr>
          <w:color w:val="2F5496" w:themeColor="accent1" w:themeShade="BF"/>
          <w:sz w:val="26"/>
          <w:szCs w:val="26"/>
        </w:rPr>
        <w:t>Children’s Physical Activity</w:t>
      </w:r>
      <w:r w:rsidR="0025614E">
        <w:rPr>
          <w:color w:val="2F5496" w:themeColor="accent1" w:themeShade="BF"/>
          <w:sz w:val="26"/>
          <w:szCs w:val="26"/>
        </w:rPr>
        <w:t>:</w:t>
      </w:r>
    </w:p>
    <w:p w14:paraId="22A64F6C" w14:textId="2F3DCF96" w:rsidR="00F53514" w:rsidRPr="0025614E" w:rsidRDefault="4EA48DD5" w:rsidP="3B5889E1">
      <w:pPr>
        <w:rPr>
          <w:rFonts w:cstheme="minorHAnsi"/>
          <w:sz w:val="24"/>
          <w:szCs w:val="24"/>
          <w:lang w:val="en" w:eastAsia="en-GB"/>
        </w:rPr>
      </w:pPr>
      <w:r w:rsidRPr="0025614E">
        <w:rPr>
          <w:rFonts w:cstheme="minorHAnsi"/>
          <w:sz w:val="24"/>
          <w:szCs w:val="24"/>
          <w:lang w:val="en" w:eastAsia="en-GB"/>
        </w:rPr>
        <w:t xml:space="preserve">There are many benefits of why children should exercise daily, these include stronger bones and muscles, a healthier body weight, reduced risk of longer term conditions like diabetes, better mental well-being, improved self-confidence, positive social contact and better academic attainment (Get Active Sports, 2022).  </w:t>
      </w:r>
    </w:p>
    <w:p w14:paraId="61419A5B" w14:textId="77777777" w:rsidR="00F53514" w:rsidRPr="0025614E" w:rsidRDefault="00F53514" w:rsidP="00F53514">
      <w:pPr>
        <w:rPr>
          <w:rFonts w:cstheme="minorHAnsi"/>
          <w:sz w:val="24"/>
          <w:szCs w:val="24"/>
          <w:lang w:val="en" w:eastAsia="en-GB"/>
        </w:rPr>
      </w:pPr>
      <w:r w:rsidRPr="0025614E">
        <w:rPr>
          <w:rFonts w:cstheme="minorHAnsi"/>
          <w:sz w:val="24"/>
          <w:szCs w:val="24"/>
          <w:lang w:val="en" w:eastAsia="en-GB"/>
        </w:rPr>
        <w:t>In the UK, it is recommended that children and young people aged 5 to 18 should aim for an average of at least 60 minutes of moderate or vigorous intensity physical activity a day across the week.  They should take part in a variety of types and intensities of physical activity across the week to develop movement skills, muscles and bones.  Finally, they should reduce the time spent sitting or lying down and break up long periods of not moving with some activity (NHS, 2022).</w:t>
      </w:r>
    </w:p>
    <w:p w14:paraId="2CCB70C6" w14:textId="77777777" w:rsidR="00F53514" w:rsidRPr="0025614E" w:rsidRDefault="00F53514" w:rsidP="00F53514">
      <w:pPr>
        <w:rPr>
          <w:rFonts w:cstheme="minorHAnsi"/>
          <w:sz w:val="24"/>
          <w:szCs w:val="24"/>
          <w:lang w:val="en" w:eastAsia="en-GB"/>
        </w:rPr>
      </w:pPr>
      <w:r w:rsidRPr="0025614E">
        <w:rPr>
          <w:rFonts w:cstheme="minorHAnsi"/>
          <w:sz w:val="24"/>
          <w:szCs w:val="24"/>
          <w:lang w:val="en" w:eastAsia="en-GB"/>
        </w:rPr>
        <w:t>Like many socioeconomically deprived areas, Sandwell has previously seen relatively low levels of physical activity among children and young people.  More specifically, significantly less children in Sandwell were meeting the recommended levels of activity described above. However, since 2019, we have seen marked improvements in this outcome, to the point that the latest data sows Sandwell’s children and young people to be the fourth most active in the country.</w:t>
      </w:r>
    </w:p>
    <w:p w14:paraId="517C1590" w14:textId="77777777" w:rsidR="003A493B" w:rsidRDefault="003A493B" w:rsidP="00F53514">
      <w:pPr>
        <w:rPr>
          <w:rFonts w:cs="Arial"/>
          <w:b/>
          <w:sz w:val="24"/>
          <w:szCs w:val="24"/>
        </w:rPr>
      </w:pPr>
    </w:p>
    <w:p w14:paraId="52B6A9C6" w14:textId="77777777" w:rsidR="003A493B" w:rsidRDefault="003A493B" w:rsidP="00F53514">
      <w:pPr>
        <w:rPr>
          <w:rFonts w:cs="Arial"/>
          <w:b/>
          <w:sz w:val="24"/>
          <w:szCs w:val="24"/>
        </w:rPr>
      </w:pPr>
    </w:p>
    <w:p w14:paraId="2AFDAB16" w14:textId="77777777" w:rsidR="003A493B" w:rsidRDefault="003A493B" w:rsidP="00F53514">
      <w:pPr>
        <w:rPr>
          <w:rFonts w:cs="Arial"/>
          <w:b/>
          <w:sz w:val="24"/>
          <w:szCs w:val="24"/>
        </w:rPr>
      </w:pPr>
    </w:p>
    <w:p w14:paraId="71DE7D77" w14:textId="77777777" w:rsidR="003A493B" w:rsidRDefault="003A493B" w:rsidP="00F53514">
      <w:pPr>
        <w:rPr>
          <w:rFonts w:cs="Arial"/>
          <w:b/>
          <w:sz w:val="24"/>
          <w:szCs w:val="24"/>
        </w:rPr>
      </w:pPr>
    </w:p>
    <w:p w14:paraId="71E2E85E" w14:textId="77777777" w:rsidR="003A493B" w:rsidRDefault="003A493B" w:rsidP="00F53514">
      <w:pPr>
        <w:rPr>
          <w:rFonts w:cs="Arial"/>
          <w:b/>
          <w:sz w:val="24"/>
          <w:szCs w:val="24"/>
        </w:rPr>
      </w:pPr>
    </w:p>
    <w:p w14:paraId="7F834D03" w14:textId="77777777" w:rsidR="003A493B" w:rsidRDefault="003A493B" w:rsidP="00F53514">
      <w:pPr>
        <w:rPr>
          <w:rFonts w:cs="Arial"/>
          <w:b/>
          <w:sz w:val="24"/>
          <w:szCs w:val="24"/>
        </w:rPr>
      </w:pPr>
    </w:p>
    <w:p w14:paraId="6C9346B8" w14:textId="77777777" w:rsidR="003A493B" w:rsidRDefault="003A493B" w:rsidP="00F53514">
      <w:pPr>
        <w:rPr>
          <w:rFonts w:cs="Arial"/>
          <w:b/>
          <w:sz w:val="24"/>
          <w:szCs w:val="24"/>
        </w:rPr>
      </w:pPr>
    </w:p>
    <w:p w14:paraId="336C756B" w14:textId="77777777" w:rsidR="003A493B" w:rsidRDefault="003A493B" w:rsidP="00F53514">
      <w:pPr>
        <w:rPr>
          <w:rFonts w:cs="Arial"/>
          <w:b/>
          <w:sz w:val="24"/>
          <w:szCs w:val="24"/>
        </w:rPr>
      </w:pPr>
    </w:p>
    <w:p w14:paraId="13B21BFF" w14:textId="690D0457" w:rsidR="00F53514" w:rsidRDefault="00F53514" w:rsidP="00F53514">
      <w:pPr>
        <w:rPr>
          <w:rFonts w:cs="Arial"/>
          <w:b/>
          <w:sz w:val="24"/>
          <w:szCs w:val="24"/>
        </w:rPr>
      </w:pPr>
      <w:r>
        <w:rPr>
          <w:rFonts w:cs="Arial"/>
          <w:b/>
          <w:sz w:val="24"/>
          <w:szCs w:val="24"/>
        </w:rPr>
        <w:t xml:space="preserve">Figure </w:t>
      </w:r>
      <w:r w:rsidR="00F614FB">
        <w:rPr>
          <w:rFonts w:cs="Arial"/>
          <w:b/>
          <w:sz w:val="24"/>
          <w:szCs w:val="24"/>
        </w:rPr>
        <w:t>4.</w:t>
      </w:r>
      <w:r w:rsidR="00985731">
        <w:rPr>
          <w:rFonts w:cs="Arial"/>
          <w:b/>
          <w:sz w:val="24"/>
          <w:szCs w:val="24"/>
        </w:rPr>
        <w:t>5</w:t>
      </w:r>
      <w:r w:rsidRPr="009C33D3">
        <w:rPr>
          <w:rFonts w:cs="Arial"/>
          <w:b/>
          <w:sz w:val="24"/>
          <w:szCs w:val="24"/>
        </w:rPr>
        <w:t xml:space="preserve">: </w:t>
      </w:r>
      <w:r>
        <w:rPr>
          <w:rFonts w:cs="Arial"/>
          <w:b/>
          <w:sz w:val="24"/>
          <w:szCs w:val="24"/>
        </w:rPr>
        <w:t xml:space="preserve">Percentage of children meeting recommended physical activity </w:t>
      </w:r>
    </w:p>
    <w:p w14:paraId="26CFEB2A" w14:textId="52999858" w:rsidR="00F53514" w:rsidRPr="00F53514" w:rsidRDefault="00F53514" w:rsidP="00F53514">
      <w:pPr>
        <w:rPr>
          <w:rFonts w:eastAsiaTheme="majorEastAsia"/>
        </w:rPr>
      </w:pPr>
      <w:r w:rsidRPr="0005361F">
        <w:rPr>
          <w:rFonts w:eastAsiaTheme="majorEastAsia" w:cstheme="majorBidi"/>
          <w:noProof/>
          <w:color w:val="2F5496" w:themeColor="accent1" w:themeShade="BF"/>
        </w:rPr>
        <w:drawing>
          <wp:inline distT="0" distB="0" distL="0" distR="0" wp14:anchorId="40508091" wp14:editId="5497E6F6">
            <wp:extent cx="3992143" cy="2751151"/>
            <wp:effectExtent l="0" t="0" r="8890" b="0"/>
            <wp:docPr id="243" name="Picture 243" descr="cid:image001.jpg@01D85FBA.E257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jpg@01D85FBA.E2575680"/>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3992143" cy="2751151"/>
                    </a:xfrm>
                    <a:prstGeom prst="rect">
                      <a:avLst/>
                    </a:prstGeom>
                    <a:noFill/>
                    <a:ln>
                      <a:noFill/>
                    </a:ln>
                  </pic:spPr>
                </pic:pic>
              </a:graphicData>
            </a:graphic>
          </wp:inline>
        </w:drawing>
      </w:r>
    </w:p>
    <w:p w14:paraId="117D6AB3" w14:textId="77777777" w:rsidR="00F53514" w:rsidRPr="0025614E" w:rsidRDefault="00F53514" w:rsidP="00F53514">
      <w:pPr>
        <w:rPr>
          <w:rFonts w:cstheme="minorHAnsi"/>
          <w:sz w:val="24"/>
          <w:szCs w:val="24"/>
          <w:lang w:val="en" w:eastAsia="en-GB"/>
        </w:rPr>
      </w:pPr>
      <w:r w:rsidRPr="0025614E">
        <w:rPr>
          <w:rFonts w:cstheme="minorHAnsi"/>
          <w:sz w:val="24"/>
          <w:szCs w:val="24"/>
          <w:lang w:val="en" w:eastAsia="en-GB"/>
        </w:rPr>
        <w:t>This has been achieved by making physical activity more accessible to all families, including the most economically disadvantaged.  For example, free swimming has been offered and a range of programmes have been developed in collaboration with out voluntary and community sector.  The #MoveMoreSandwell programme has coordinated joint efforts across the local system to ensure physical activity is front and centre of all agencies offer to their community.</w:t>
      </w:r>
    </w:p>
    <w:p w14:paraId="13731099" w14:textId="77777777" w:rsidR="00F53514" w:rsidRPr="0025614E" w:rsidRDefault="00F53514" w:rsidP="00F53514">
      <w:pPr>
        <w:rPr>
          <w:rFonts w:cstheme="minorHAnsi"/>
          <w:sz w:val="24"/>
          <w:szCs w:val="24"/>
          <w:lang w:val="en" w:eastAsia="en-GB"/>
        </w:rPr>
      </w:pPr>
      <w:r w:rsidRPr="0025614E">
        <w:rPr>
          <w:rFonts w:cstheme="minorHAnsi"/>
          <w:sz w:val="24"/>
          <w:szCs w:val="24"/>
          <w:lang w:val="en" w:eastAsia="en-GB"/>
        </w:rPr>
        <w:t>Going forward, the 2022 Commonwealth Games will provide a once in a life-time opportunity to maintain these improvements.  The free swimming offer is to be expanded as we open up the new Sandwell Aquatic Centre and work with our new Sandwell Faith Sector Network will bring physical activity opportunities to many people in the heart of communities that traditionally face barriers against engaging in sport and physical activity.</w:t>
      </w:r>
    </w:p>
    <w:p w14:paraId="268A6253" w14:textId="77777777" w:rsidR="003A493B" w:rsidRDefault="003A493B" w:rsidP="003A493B">
      <w:pPr>
        <w:rPr>
          <w:color w:val="2F5496" w:themeColor="accent1" w:themeShade="BF"/>
          <w:sz w:val="26"/>
          <w:szCs w:val="26"/>
        </w:rPr>
      </w:pPr>
    </w:p>
    <w:p w14:paraId="5B8A1D00" w14:textId="72118E3B" w:rsidR="0005361F" w:rsidRDefault="0005361F" w:rsidP="003A493B">
      <w:pPr>
        <w:rPr>
          <w:color w:val="2F5496" w:themeColor="accent1" w:themeShade="BF"/>
          <w:sz w:val="26"/>
          <w:szCs w:val="26"/>
        </w:rPr>
      </w:pPr>
      <w:r w:rsidRPr="0025614E">
        <w:rPr>
          <w:color w:val="2F5496" w:themeColor="accent1" w:themeShade="BF"/>
          <w:sz w:val="26"/>
          <w:szCs w:val="26"/>
        </w:rPr>
        <w:t>Teenage conceptions:</w:t>
      </w:r>
    </w:p>
    <w:p w14:paraId="5C8779B1" w14:textId="77777777" w:rsidR="0005361F" w:rsidRPr="0025614E" w:rsidRDefault="0005361F" w:rsidP="003A493B">
      <w:pPr>
        <w:rPr>
          <w:rFonts w:cstheme="minorHAnsi"/>
          <w:sz w:val="24"/>
          <w:szCs w:val="24"/>
          <w:lang w:val="en" w:eastAsia="en-GB"/>
        </w:rPr>
      </w:pPr>
      <w:r w:rsidRPr="0025614E">
        <w:rPr>
          <w:rFonts w:cstheme="minorHAnsi"/>
          <w:sz w:val="24"/>
          <w:szCs w:val="24"/>
          <w:lang w:val="en" w:eastAsia="en-GB"/>
        </w:rPr>
        <w:t xml:space="preserve">Sandwell has decreased teenage conceptions remarkably by 76%. The rates in Sandwell were quite a distance above the national average, rates in Sandwell have now decreased to 16.3 under 18 conceptions per 1000 births in 2020. </w:t>
      </w:r>
    </w:p>
    <w:p w14:paraId="54545C55" w14:textId="77777777" w:rsidR="0005361F" w:rsidRPr="0025614E" w:rsidRDefault="3A539BEF" w:rsidP="3B5889E1">
      <w:pPr>
        <w:rPr>
          <w:rFonts w:cstheme="minorHAnsi"/>
          <w:sz w:val="24"/>
          <w:szCs w:val="24"/>
          <w:lang w:val="en" w:eastAsia="en-GB"/>
        </w:rPr>
      </w:pPr>
      <w:r w:rsidRPr="0025614E">
        <w:rPr>
          <w:rFonts w:cstheme="minorHAnsi"/>
          <w:sz w:val="24"/>
          <w:szCs w:val="24"/>
          <w:lang w:val="en" w:eastAsia="en-GB"/>
        </w:rPr>
        <w:t>Teenage pregnancy is both a contributory factor and an outcome of child poverty. Teenage parent families have at least one parent under the age of 18 with responsibility for a dependent child aged under five.  These families are at increased risk of the biggest causes of poverty (worklessness and low pay); while under-fives make up 44 per cent of all children in poverty</w:t>
      </w:r>
      <w:bookmarkStart w:id="31" w:name="_Ref391563913"/>
      <w:r w:rsidR="0005361F" w:rsidRPr="0025614E">
        <w:rPr>
          <w:rFonts w:cstheme="minorHAnsi"/>
          <w:sz w:val="24"/>
          <w:szCs w:val="24"/>
          <w:lang w:val="en" w:eastAsia="en-GB"/>
        </w:rPr>
        <w:footnoteReference w:id="12"/>
      </w:r>
      <w:bookmarkEnd w:id="31"/>
      <w:r w:rsidRPr="0025614E">
        <w:rPr>
          <w:rFonts w:cstheme="minorHAnsi"/>
          <w:sz w:val="24"/>
          <w:szCs w:val="24"/>
          <w:lang w:val="en" w:eastAsia="en-GB"/>
        </w:rPr>
        <w:t xml:space="preserve">. Children of teenage mothers have a 63% increased risk of being born into poverty compared to babies born to mothers in their twenties. </w:t>
      </w:r>
    </w:p>
    <w:p w14:paraId="43670B56"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Children born to teenage mothers have 60% higher rates of infant mortality and are at increased risk of low birth-weight which impacts on the child's long-term health.  Teenage mothers are three times more likely to suffer from post-natal depression and experience poor mental health for up to 3 years after the birth.  Teenage parents and their children are at increased risk of living in poverty (ChiMat).</w:t>
      </w:r>
    </w:p>
    <w:p w14:paraId="632AAFA4" w14:textId="092B1420" w:rsidR="0005361F" w:rsidRPr="0025614E" w:rsidRDefault="3A539BEF" w:rsidP="3B5889E1">
      <w:pPr>
        <w:rPr>
          <w:rFonts w:cstheme="minorHAnsi"/>
          <w:sz w:val="24"/>
          <w:szCs w:val="24"/>
          <w:lang w:val="en" w:eastAsia="en-GB"/>
        </w:rPr>
      </w:pPr>
      <w:r w:rsidRPr="0025614E">
        <w:rPr>
          <w:rFonts w:cstheme="minorHAnsi"/>
          <w:sz w:val="24"/>
          <w:szCs w:val="24"/>
          <w:lang w:val="en" w:eastAsia="en-GB"/>
        </w:rPr>
        <w:t xml:space="preserve">The reduction in numbers of teenage pregnancies is as a result of the concerted efforts of dedicated professionals and partner agencies working together to address key local issues and concerns over years. There are a number of lines of support for teenagers and advice around sex and relationships. This includes prioritising advice and guidance by commissioning Brook, a national charity with the aim to provide education and wellbeing services for young people; commissioning a PHSE lead who can link the education to services and improved access to young people’s contraception and sexual health services, targeted work with young people most at risk of conception and improved support and services for pregnant teenagers and teenage parents. </w:t>
      </w:r>
    </w:p>
    <w:p w14:paraId="77A118C4" w14:textId="42A5D817" w:rsidR="0005361F" w:rsidRPr="0025614E" w:rsidRDefault="0005361F" w:rsidP="0005361F">
      <w:pPr>
        <w:rPr>
          <w:rFonts w:cstheme="minorHAnsi"/>
          <w:sz w:val="24"/>
          <w:szCs w:val="24"/>
          <w:lang w:val="en" w:eastAsia="en-GB"/>
        </w:rPr>
      </w:pPr>
      <w:r w:rsidRPr="0025614E">
        <w:rPr>
          <w:rFonts w:cstheme="minorHAnsi"/>
          <w:sz w:val="24"/>
          <w:szCs w:val="24"/>
          <w:lang w:val="en" w:eastAsia="en-GB"/>
        </w:rPr>
        <w:t>As low educational attainment is associated with a higher risk of conceiving as a teenager, then it is important to acknowledge the valuable role and achievements of staff across Learning, Early Years, Children’s Centres and Sandwell schools resulting in children achieving good levels of development, reduced numbers of young people not engaged in education, employment or training (NEET) and higher percentage of pupils achieving 5 or more GCSEs grade A-C and the positive impact this has had on young peoples aspirations and local conception rates.</w:t>
      </w:r>
    </w:p>
    <w:p w14:paraId="4CEF5F2C" w14:textId="1171B687" w:rsidR="0005361F" w:rsidRDefault="0005361F" w:rsidP="0005361F">
      <w:pPr>
        <w:rPr>
          <w:rFonts w:cs="Arial"/>
          <w:b/>
          <w:sz w:val="24"/>
          <w:szCs w:val="24"/>
        </w:rPr>
      </w:pPr>
      <w:r>
        <w:rPr>
          <w:rFonts w:cs="Arial"/>
          <w:b/>
          <w:sz w:val="24"/>
          <w:szCs w:val="24"/>
        </w:rPr>
        <w:t xml:space="preserve">Figure </w:t>
      </w:r>
      <w:r w:rsidR="00F614FB">
        <w:rPr>
          <w:rFonts w:cs="Arial"/>
          <w:b/>
          <w:sz w:val="24"/>
          <w:szCs w:val="24"/>
        </w:rPr>
        <w:t>4.</w:t>
      </w:r>
      <w:r w:rsidR="00985731">
        <w:rPr>
          <w:rFonts w:cs="Arial"/>
          <w:b/>
          <w:sz w:val="24"/>
          <w:szCs w:val="24"/>
        </w:rPr>
        <w:t>6</w:t>
      </w:r>
      <w:r w:rsidRPr="009C33D3">
        <w:rPr>
          <w:rFonts w:cs="Arial"/>
          <w:b/>
          <w:sz w:val="24"/>
          <w:szCs w:val="24"/>
        </w:rPr>
        <w:t xml:space="preserve">: </w:t>
      </w:r>
      <w:r>
        <w:rPr>
          <w:rFonts w:cs="Arial"/>
          <w:b/>
          <w:sz w:val="24"/>
          <w:szCs w:val="24"/>
        </w:rPr>
        <w:t xml:space="preserve">Conception rate in those under 18yrs olds. </w:t>
      </w:r>
    </w:p>
    <w:p w14:paraId="6BE25545" w14:textId="0249F416" w:rsidR="0005361F" w:rsidRPr="0005361F" w:rsidRDefault="0005361F" w:rsidP="0005361F">
      <w:pPr>
        <w:rPr>
          <w:rFonts w:eastAsiaTheme="majorEastAsia"/>
        </w:rPr>
      </w:pPr>
      <w:r w:rsidRPr="0005361F">
        <w:rPr>
          <w:rFonts w:eastAsiaTheme="majorEastAsia" w:cstheme="majorBidi"/>
          <w:noProof/>
          <w:color w:val="2F5496" w:themeColor="accent1" w:themeShade="BF"/>
        </w:rPr>
        <w:drawing>
          <wp:inline distT="0" distB="0" distL="0" distR="0" wp14:anchorId="6A25B167" wp14:editId="4313AC37">
            <wp:extent cx="5600700" cy="3708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8779" t="12113" r="20231" b="16092"/>
                    <a:stretch/>
                  </pic:blipFill>
                  <pic:spPr bwMode="auto">
                    <a:xfrm>
                      <a:off x="0" y="0"/>
                      <a:ext cx="5627291" cy="3725972"/>
                    </a:xfrm>
                    <a:prstGeom prst="rect">
                      <a:avLst/>
                    </a:prstGeom>
                    <a:ln>
                      <a:noFill/>
                    </a:ln>
                    <a:extLst>
                      <a:ext uri="{53640926-AAD7-44D8-BBD7-CCE9431645EC}">
                        <a14:shadowObscured xmlns:a14="http://schemas.microsoft.com/office/drawing/2010/main"/>
                      </a:ext>
                    </a:extLst>
                  </pic:spPr>
                </pic:pic>
              </a:graphicData>
            </a:graphic>
          </wp:inline>
        </w:drawing>
      </w:r>
    </w:p>
    <w:p w14:paraId="7A401082" w14:textId="0AC380A7" w:rsidR="0005361F" w:rsidRPr="0005361F" w:rsidRDefault="0005361F" w:rsidP="0005361F">
      <w:pPr>
        <w:pStyle w:val="ListParagraph"/>
        <w:spacing w:line="259" w:lineRule="auto"/>
        <w:rPr>
          <w:rFonts w:eastAsiaTheme="majorEastAsia" w:cstheme="majorBidi"/>
          <w:color w:val="2F5496" w:themeColor="accent1" w:themeShade="BF"/>
        </w:rPr>
      </w:pPr>
    </w:p>
    <w:p w14:paraId="28D796C1" w14:textId="18B62BFE" w:rsidR="0005361F" w:rsidRPr="0025614E" w:rsidRDefault="0005361F" w:rsidP="003A493B">
      <w:pPr>
        <w:rPr>
          <w:color w:val="2F5496" w:themeColor="accent1" w:themeShade="BF"/>
          <w:sz w:val="26"/>
          <w:szCs w:val="26"/>
        </w:rPr>
      </w:pPr>
      <w:r w:rsidRPr="0025614E">
        <w:rPr>
          <w:color w:val="2F5496" w:themeColor="accent1" w:themeShade="BF"/>
          <w:sz w:val="26"/>
          <w:szCs w:val="26"/>
        </w:rPr>
        <w:t>Substance Misuse</w:t>
      </w:r>
      <w:r w:rsidR="0025614E">
        <w:rPr>
          <w:color w:val="2F5496" w:themeColor="accent1" w:themeShade="BF"/>
          <w:sz w:val="26"/>
          <w:szCs w:val="26"/>
        </w:rPr>
        <w:t>:</w:t>
      </w:r>
    </w:p>
    <w:p w14:paraId="71BF27F7" w14:textId="77777777" w:rsidR="0005361F" w:rsidRPr="0025614E" w:rsidRDefault="0005361F" w:rsidP="003A493B">
      <w:pPr>
        <w:rPr>
          <w:rFonts w:cstheme="minorHAnsi"/>
          <w:sz w:val="24"/>
          <w:szCs w:val="24"/>
          <w:lang w:val="en" w:eastAsia="en-GB"/>
        </w:rPr>
      </w:pPr>
      <w:r w:rsidRPr="0025614E">
        <w:rPr>
          <w:rFonts w:cstheme="minorHAnsi"/>
          <w:sz w:val="24"/>
          <w:szCs w:val="24"/>
          <w:lang w:val="en" w:eastAsia="en-GB"/>
        </w:rPr>
        <w:t xml:space="preserve">There are many reasons why a young person may fall into drug or alcohol misuse.  These include problems at home, pressure from peers or even involvement in illicit drug distribution networks.  Young people from economically deprived areas face particular challenges in that drug and alcohol use demand and supply is often higher in those areas.  </w:t>
      </w:r>
    </w:p>
    <w:p w14:paraId="4D6D199D"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In Sandwell, the Public Health Team commission the DECCA (Drug Education, Counselling and Confidential Advice) young people's alcohol, drug and tobacco service. The services works with any young person that lives in the Sandwell area aged 18 or under and also works with any agency that work with them.</w:t>
      </w:r>
    </w:p>
    <w:p w14:paraId="6D7C8D66"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DECCA cover everything from education in mainstream schools, to education in the community all the way to working with someone who is experiencing issues with drugs such as alcohol, cannabis, tobacco, volatile substances and class A drugs.</w:t>
      </w:r>
    </w:p>
    <w:p w14:paraId="5E497B70"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The key services the team offer include general advice and guidance for young people and the professionals that work with them, educational harm reduction resources and sessions for schools and community organisations, training for workers and professionals, policy and procedure development, targeted brief interventions focusing on harm minimisation for those using alcohol and/or drug(s), structured treatment for any young person using alcohol and/or drug(s), substitute prescribing and a range of holistic therapies.</w:t>
      </w:r>
    </w:p>
    <w:p w14:paraId="44115B6B"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The latest data for 2018/19 to 2020/21 shows that hospital admissions for substance use among 15-24 year olds have reduced from 63.3 per 100,000 population to 51.9, below both the national average (81.2) and regional average (66.9).  Sandwell is the third lowest in the wider West Midlands area behind Birmingham and Dudley (see figure below).</w:t>
      </w:r>
    </w:p>
    <w:p w14:paraId="68ECE8A4"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Meanwhile alcohol admissions among under 18s continue to fall year-on-year.  In 2006/08 Sandwell was at 80.5 per 100,000 pop.  Latest data shows a rate of 18.2, again lower than the national/regional averages and the third lowest in the West Midlands behind Birmingham and Walsall (see figure below).</w:t>
      </w:r>
    </w:p>
    <w:p w14:paraId="34409F09" w14:textId="25EBDA17" w:rsidR="0005361F" w:rsidRDefault="0005361F" w:rsidP="0005361F">
      <w:pPr>
        <w:rPr>
          <w:rFonts w:cs="Arial"/>
          <w:b/>
          <w:sz w:val="24"/>
          <w:szCs w:val="24"/>
        </w:rPr>
      </w:pPr>
      <w:r>
        <w:rPr>
          <w:rFonts w:cs="Arial"/>
          <w:b/>
          <w:sz w:val="24"/>
          <w:szCs w:val="24"/>
        </w:rPr>
        <w:t xml:space="preserve">Figure </w:t>
      </w:r>
      <w:r w:rsidR="00F614FB">
        <w:rPr>
          <w:rFonts w:cs="Arial"/>
          <w:b/>
          <w:sz w:val="24"/>
          <w:szCs w:val="24"/>
        </w:rPr>
        <w:t>4.</w:t>
      </w:r>
      <w:r w:rsidR="00985731">
        <w:rPr>
          <w:rFonts w:cs="Arial"/>
          <w:b/>
          <w:sz w:val="24"/>
          <w:szCs w:val="24"/>
        </w:rPr>
        <w:t>7</w:t>
      </w:r>
      <w:r w:rsidRPr="009C33D3">
        <w:rPr>
          <w:rFonts w:cs="Arial"/>
          <w:b/>
          <w:sz w:val="24"/>
          <w:szCs w:val="24"/>
        </w:rPr>
        <w:t xml:space="preserve">: </w:t>
      </w:r>
      <w:r>
        <w:rPr>
          <w:rFonts w:cs="Arial"/>
          <w:b/>
          <w:sz w:val="24"/>
          <w:szCs w:val="24"/>
        </w:rPr>
        <w:t xml:space="preserve">Hospital Admissions due to substance misuse </w:t>
      </w:r>
    </w:p>
    <w:p w14:paraId="63A5D470" w14:textId="36DCF41E" w:rsidR="0005361F" w:rsidRPr="0005361F" w:rsidRDefault="0005361F" w:rsidP="0005361F">
      <w:pPr>
        <w:rPr>
          <w:rFonts w:cs="Arial"/>
          <w:b/>
          <w:sz w:val="24"/>
          <w:szCs w:val="24"/>
        </w:rPr>
      </w:pPr>
      <w:r w:rsidRPr="0005361F">
        <w:rPr>
          <w:rFonts w:eastAsiaTheme="majorEastAsia" w:cstheme="majorBidi"/>
          <w:noProof/>
          <w:color w:val="2F5496" w:themeColor="accent1" w:themeShade="BF"/>
        </w:rPr>
        <w:drawing>
          <wp:inline distT="0" distB="0" distL="0" distR="0" wp14:anchorId="104BD044" wp14:editId="7AF5C3FC">
            <wp:extent cx="5731510" cy="2680417"/>
            <wp:effectExtent l="0" t="0" r="2540" b="5715"/>
            <wp:docPr id="13" name="Picture 13" descr="cid:image001.png@01D85FBF.BA341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85FBF.BA341F8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731510" cy="2680417"/>
                    </a:xfrm>
                    <a:prstGeom prst="rect">
                      <a:avLst/>
                    </a:prstGeom>
                    <a:noFill/>
                    <a:ln>
                      <a:noFill/>
                    </a:ln>
                  </pic:spPr>
                </pic:pic>
              </a:graphicData>
            </a:graphic>
          </wp:inline>
        </w:drawing>
      </w:r>
    </w:p>
    <w:p w14:paraId="6121DF0B" w14:textId="1FC26812" w:rsidR="0005361F" w:rsidRPr="0025614E" w:rsidRDefault="0005361F" w:rsidP="003A493B">
      <w:pPr>
        <w:rPr>
          <w:color w:val="2F5496" w:themeColor="accent1" w:themeShade="BF"/>
          <w:sz w:val="26"/>
          <w:szCs w:val="26"/>
        </w:rPr>
      </w:pPr>
      <w:r w:rsidRPr="0025614E">
        <w:rPr>
          <w:color w:val="2F5496" w:themeColor="accent1" w:themeShade="BF"/>
          <w:sz w:val="26"/>
          <w:szCs w:val="26"/>
        </w:rPr>
        <w:t>Hospital admissions caused by injuries</w:t>
      </w:r>
      <w:r w:rsidR="0025614E" w:rsidRPr="0025614E">
        <w:rPr>
          <w:color w:val="2F5496" w:themeColor="accent1" w:themeShade="BF"/>
          <w:sz w:val="26"/>
          <w:szCs w:val="26"/>
        </w:rPr>
        <w:t>:</w:t>
      </w:r>
      <w:r w:rsidRPr="0025614E">
        <w:rPr>
          <w:color w:val="2F5496" w:themeColor="accent1" w:themeShade="BF"/>
          <w:sz w:val="26"/>
          <w:szCs w:val="26"/>
        </w:rPr>
        <w:t xml:space="preserve"> </w:t>
      </w:r>
    </w:p>
    <w:p w14:paraId="6B76A1EE" w14:textId="77777777" w:rsidR="0005361F" w:rsidRPr="0025614E" w:rsidRDefault="0005361F" w:rsidP="003A493B">
      <w:pPr>
        <w:rPr>
          <w:rFonts w:cstheme="minorHAnsi"/>
          <w:sz w:val="24"/>
          <w:szCs w:val="24"/>
          <w:lang w:val="en" w:eastAsia="en-GB"/>
        </w:rPr>
      </w:pPr>
      <w:r w:rsidRPr="0025614E">
        <w:rPr>
          <w:rFonts w:cstheme="minorHAnsi"/>
          <w:sz w:val="24"/>
          <w:szCs w:val="24"/>
          <w:lang w:val="en" w:eastAsia="en-GB"/>
        </w:rPr>
        <w:t>Sandwell has historically had high rates of hospital admission for injuries, both accidental and those caused deliberately.  This in turn reflected inadequate levels of safety and timely intervention in areas ranging from road safety through to substance misuse and mental health.</w:t>
      </w:r>
    </w:p>
    <w:p w14:paraId="412F07BE"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We have seen significant improvements in this area in recent years as more investment has gone into services.  The rate of admission for injuries is now significantly lower than the national average.</w:t>
      </w:r>
    </w:p>
    <w:p w14:paraId="4448ED99" w14:textId="1910A486" w:rsidR="0005361F" w:rsidRPr="0025614E" w:rsidRDefault="0005361F" w:rsidP="0005361F">
      <w:pPr>
        <w:rPr>
          <w:rFonts w:cstheme="minorHAnsi"/>
          <w:sz w:val="24"/>
          <w:szCs w:val="24"/>
          <w:lang w:val="en" w:eastAsia="en-GB"/>
        </w:rPr>
      </w:pPr>
      <w:r w:rsidRPr="0025614E">
        <w:rPr>
          <w:rFonts w:cstheme="minorHAnsi"/>
          <w:sz w:val="24"/>
          <w:szCs w:val="24"/>
          <w:lang w:val="en" w:eastAsia="en-GB"/>
        </w:rPr>
        <w:t>More work is required in order to maintain this downward trend.  In particular, new strategic arrangements with NHS partners will enhance this work in relation to system wide issues.</w:t>
      </w:r>
    </w:p>
    <w:p w14:paraId="7E3B4666" w14:textId="6368C3E0" w:rsidR="00F614FB" w:rsidRDefault="00F614FB" w:rsidP="00F614FB">
      <w:pPr>
        <w:rPr>
          <w:rFonts w:cs="Arial"/>
          <w:b/>
          <w:sz w:val="24"/>
          <w:szCs w:val="24"/>
        </w:rPr>
      </w:pPr>
      <w:r>
        <w:rPr>
          <w:rFonts w:cs="Arial"/>
          <w:b/>
          <w:sz w:val="24"/>
          <w:szCs w:val="24"/>
        </w:rPr>
        <w:t>Figure 4.</w:t>
      </w:r>
      <w:r w:rsidR="00985731">
        <w:rPr>
          <w:rFonts w:cs="Arial"/>
          <w:b/>
          <w:sz w:val="24"/>
          <w:szCs w:val="24"/>
        </w:rPr>
        <w:t>8</w:t>
      </w:r>
      <w:r w:rsidRPr="009C33D3">
        <w:rPr>
          <w:rFonts w:cs="Arial"/>
          <w:b/>
          <w:sz w:val="24"/>
          <w:szCs w:val="24"/>
        </w:rPr>
        <w:t xml:space="preserve">: </w:t>
      </w:r>
      <w:r>
        <w:rPr>
          <w:rFonts w:cs="Arial"/>
          <w:b/>
          <w:sz w:val="24"/>
          <w:szCs w:val="24"/>
        </w:rPr>
        <w:t>Hospital Admissions due unintentional and deliberate injuries</w:t>
      </w:r>
    </w:p>
    <w:p w14:paraId="4ABCA366" w14:textId="021B36F5" w:rsidR="0005361F" w:rsidRPr="0005361F" w:rsidRDefault="0005361F" w:rsidP="0005361F">
      <w:pPr>
        <w:rPr>
          <w:rFonts w:eastAsiaTheme="majorEastAsia"/>
        </w:rPr>
      </w:pPr>
      <w:r w:rsidRPr="0005361F">
        <w:rPr>
          <w:rFonts w:eastAsiaTheme="majorEastAsia" w:cstheme="majorBidi"/>
          <w:noProof/>
          <w:color w:val="2F5496" w:themeColor="accent1" w:themeShade="BF"/>
        </w:rPr>
        <w:drawing>
          <wp:inline distT="0" distB="0" distL="0" distR="0" wp14:anchorId="69180196" wp14:editId="5901B441">
            <wp:extent cx="5539105" cy="2482850"/>
            <wp:effectExtent l="0" t="0" r="4445" b="0"/>
            <wp:docPr id="16" name="Picture 16" descr="cid:image002.jpg@01D85FBA.E257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2.jpg@01D85FBA.E2575680"/>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5539105" cy="2482850"/>
                    </a:xfrm>
                    <a:prstGeom prst="rect">
                      <a:avLst/>
                    </a:prstGeom>
                    <a:noFill/>
                    <a:ln>
                      <a:noFill/>
                    </a:ln>
                  </pic:spPr>
                </pic:pic>
              </a:graphicData>
            </a:graphic>
          </wp:inline>
        </w:drawing>
      </w:r>
    </w:p>
    <w:tbl>
      <w:tblPr>
        <w:tblW w:w="0" w:type="auto"/>
        <w:tblCellSpacing w:w="0" w:type="dxa"/>
        <w:tblLook w:val="04A0" w:firstRow="1" w:lastRow="0" w:firstColumn="1" w:lastColumn="0" w:noHBand="0" w:noVBand="1"/>
      </w:tblPr>
      <w:tblGrid>
        <w:gridCol w:w="36"/>
        <w:gridCol w:w="36"/>
      </w:tblGrid>
      <w:tr w:rsidR="0005361F" w:rsidRPr="0005361F" w14:paraId="64D888F4" w14:textId="77777777" w:rsidTr="0005361F">
        <w:trPr>
          <w:tblCellSpacing w:w="0" w:type="dxa"/>
        </w:trPr>
        <w:tc>
          <w:tcPr>
            <w:tcW w:w="0" w:type="auto"/>
            <w:tcMar>
              <w:top w:w="15" w:type="dxa"/>
              <w:left w:w="15" w:type="dxa"/>
              <w:bottom w:w="15" w:type="dxa"/>
              <w:right w:w="15" w:type="dxa"/>
            </w:tcMar>
            <w:vAlign w:val="center"/>
            <w:hideMark/>
          </w:tcPr>
          <w:p w14:paraId="06AF0380" w14:textId="77777777" w:rsidR="0005361F" w:rsidRPr="0005361F" w:rsidRDefault="0005361F" w:rsidP="0005361F">
            <w:pPr>
              <w:pStyle w:val="ListParagraph"/>
              <w:spacing w:line="259" w:lineRule="auto"/>
              <w:rPr>
                <w:rFonts w:eastAsiaTheme="majorEastAsia" w:cstheme="majorBidi"/>
                <w:color w:val="2F5496" w:themeColor="accent1" w:themeShade="BF"/>
              </w:rPr>
            </w:pPr>
          </w:p>
        </w:tc>
        <w:tc>
          <w:tcPr>
            <w:tcW w:w="0" w:type="auto"/>
            <w:tcMar>
              <w:top w:w="15" w:type="dxa"/>
              <w:left w:w="15" w:type="dxa"/>
              <w:bottom w:w="15" w:type="dxa"/>
              <w:right w:w="15" w:type="dxa"/>
            </w:tcMar>
            <w:vAlign w:val="center"/>
            <w:hideMark/>
          </w:tcPr>
          <w:p w14:paraId="0326069E" w14:textId="77777777" w:rsidR="0005361F" w:rsidRPr="0005361F" w:rsidRDefault="0005361F" w:rsidP="0005361F">
            <w:pPr>
              <w:pStyle w:val="ListParagraph"/>
              <w:spacing w:line="259" w:lineRule="auto"/>
              <w:rPr>
                <w:rFonts w:eastAsiaTheme="majorEastAsia" w:cstheme="majorBidi"/>
                <w:color w:val="2F5496" w:themeColor="accent1" w:themeShade="BF"/>
              </w:rPr>
            </w:pPr>
          </w:p>
        </w:tc>
      </w:tr>
    </w:tbl>
    <w:p w14:paraId="3FAC23A5" w14:textId="77777777" w:rsidR="0005361F" w:rsidRPr="0025614E" w:rsidRDefault="0005361F" w:rsidP="003A493B">
      <w:pPr>
        <w:rPr>
          <w:color w:val="2F5496" w:themeColor="accent1" w:themeShade="BF"/>
          <w:sz w:val="26"/>
          <w:szCs w:val="26"/>
        </w:rPr>
      </w:pPr>
      <w:r w:rsidRPr="0025614E">
        <w:rPr>
          <w:color w:val="2F5496" w:themeColor="accent1" w:themeShade="BF"/>
          <w:sz w:val="26"/>
          <w:szCs w:val="26"/>
        </w:rPr>
        <w:t xml:space="preserve">Homelessness: </w:t>
      </w:r>
    </w:p>
    <w:p w14:paraId="620AE344" w14:textId="316D0D83" w:rsidR="0005361F" w:rsidRPr="0025614E" w:rsidRDefault="0005361F" w:rsidP="003A493B">
      <w:pPr>
        <w:rPr>
          <w:rFonts w:cstheme="minorHAnsi"/>
          <w:sz w:val="24"/>
          <w:szCs w:val="24"/>
          <w:lang w:val="en" w:eastAsia="en-GB"/>
        </w:rPr>
      </w:pPr>
      <w:r w:rsidRPr="0025614E">
        <w:rPr>
          <w:rFonts w:cstheme="minorHAnsi"/>
          <w:sz w:val="24"/>
          <w:szCs w:val="24"/>
          <w:lang w:val="en" w:eastAsia="en-GB"/>
        </w:rPr>
        <w:t>There were 580 families with children affected by homelessness in 2020/21. This is slightly higher than the national average of 11.6 per 1000. The numbers of families affected by homelessness has decreased slightly from 2019/20 in Sandwell and nationally. The UN Convention on the Rights of the Child highlights the right of every child to an adequate standard of living. Children from homeless households are often the most vulnerable in society and are associated with severe poverty.</w:t>
      </w:r>
    </w:p>
    <w:p w14:paraId="3F8CBE41" w14:textId="77777777" w:rsidR="0005361F" w:rsidRPr="0025614E" w:rsidRDefault="3A539BEF" w:rsidP="3B5889E1">
      <w:pPr>
        <w:rPr>
          <w:rFonts w:cstheme="minorHAnsi"/>
          <w:sz w:val="24"/>
          <w:szCs w:val="24"/>
          <w:lang w:val="en" w:eastAsia="en-GB"/>
        </w:rPr>
      </w:pPr>
      <w:r w:rsidRPr="0025614E">
        <w:rPr>
          <w:rFonts w:cstheme="minorHAnsi"/>
          <w:sz w:val="24"/>
          <w:szCs w:val="24"/>
          <w:lang w:val="en" w:eastAsia="en-GB"/>
        </w:rPr>
        <w:t xml:space="preserve">Health visitors will support families who are at all elements of levels of need. They will work with those who are homeless/in temporary accommodation. Providing advice on support they can received and safety messages such as safer sleeping. The team work together with partners to ensure there is a further strategy for displaced families. </w:t>
      </w:r>
    </w:p>
    <w:p w14:paraId="156B99DC" w14:textId="6AF02295" w:rsidR="0005361F" w:rsidRPr="0025614E" w:rsidRDefault="3B5889E1" w:rsidP="0025614E">
      <w:pPr>
        <w:rPr>
          <w:rFonts w:cstheme="minorHAnsi"/>
          <w:sz w:val="24"/>
          <w:szCs w:val="24"/>
          <w:lang w:val="en" w:eastAsia="en-GB"/>
        </w:rPr>
      </w:pPr>
      <w:r w:rsidRPr="0025614E">
        <w:rPr>
          <w:rFonts w:cstheme="minorHAnsi"/>
          <w:sz w:val="24"/>
          <w:szCs w:val="24"/>
          <w:lang w:val="en" w:eastAsia="en-GB"/>
        </w:rPr>
        <w:t xml:space="preserve">School safeguarding leads, schools nurses and the early help system pull together to support children identified as at risk, however there is more that can be done and going forward, teams across the Council will continue to monitor and support families who are at risk of becoming homeless and those who have suddenly become homeless. </w:t>
      </w:r>
    </w:p>
    <w:p w14:paraId="747620D2" w14:textId="425F3A64" w:rsidR="0005361F" w:rsidRDefault="0005361F" w:rsidP="0005361F">
      <w:pPr>
        <w:rPr>
          <w:rFonts w:cs="Arial"/>
          <w:b/>
          <w:sz w:val="24"/>
          <w:szCs w:val="24"/>
        </w:rPr>
      </w:pPr>
      <w:r>
        <w:rPr>
          <w:rFonts w:cs="Arial"/>
          <w:b/>
          <w:sz w:val="24"/>
          <w:szCs w:val="24"/>
        </w:rPr>
        <w:t xml:space="preserve">Figure </w:t>
      </w:r>
      <w:r w:rsidR="00F614FB">
        <w:rPr>
          <w:rFonts w:cs="Arial"/>
          <w:b/>
          <w:sz w:val="24"/>
          <w:szCs w:val="24"/>
        </w:rPr>
        <w:t>4.</w:t>
      </w:r>
      <w:r w:rsidR="00985731">
        <w:rPr>
          <w:rFonts w:cs="Arial"/>
          <w:b/>
          <w:sz w:val="24"/>
          <w:szCs w:val="24"/>
        </w:rPr>
        <w:t>9</w:t>
      </w:r>
      <w:r w:rsidRPr="009C33D3">
        <w:rPr>
          <w:rFonts w:cs="Arial"/>
          <w:b/>
          <w:sz w:val="24"/>
          <w:szCs w:val="24"/>
        </w:rPr>
        <w:t xml:space="preserve">: </w:t>
      </w:r>
      <w:r>
        <w:rPr>
          <w:rFonts w:cs="Arial"/>
          <w:b/>
          <w:sz w:val="24"/>
          <w:szCs w:val="24"/>
        </w:rPr>
        <w:t xml:space="preserve">Households with dependent children homed under homeless act.  </w:t>
      </w:r>
    </w:p>
    <w:p w14:paraId="414EC3A7" w14:textId="67074CBF" w:rsidR="0005361F" w:rsidRDefault="0005361F" w:rsidP="0005361F">
      <w:pPr>
        <w:rPr>
          <w:rFonts w:cs="Arial"/>
          <w:b/>
          <w:sz w:val="24"/>
          <w:szCs w:val="24"/>
        </w:rPr>
      </w:pPr>
      <w:r w:rsidRPr="0005361F">
        <w:rPr>
          <w:rFonts w:eastAsiaTheme="majorEastAsia" w:cstheme="majorBidi"/>
          <w:noProof/>
          <w:color w:val="2F5496" w:themeColor="accent1" w:themeShade="BF"/>
        </w:rPr>
        <w:drawing>
          <wp:inline distT="0" distB="0" distL="0" distR="0" wp14:anchorId="1E183A78" wp14:editId="750A1770">
            <wp:extent cx="5731510" cy="1920240"/>
            <wp:effectExtent l="19050" t="19050" r="2159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7616" t="53772" r="17904" b="7819"/>
                    <a:stretch/>
                  </pic:blipFill>
                  <pic:spPr bwMode="auto">
                    <a:xfrm>
                      <a:off x="0" y="0"/>
                      <a:ext cx="5731510" cy="19202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FA7BD8" w14:textId="77777777" w:rsidR="003A493B" w:rsidRDefault="003A493B" w:rsidP="0025614E">
      <w:pPr>
        <w:spacing w:after="0"/>
        <w:rPr>
          <w:color w:val="2F5496" w:themeColor="accent1" w:themeShade="BF"/>
          <w:sz w:val="26"/>
          <w:szCs w:val="26"/>
        </w:rPr>
      </w:pPr>
    </w:p>
    <w:p w14:paraId="5FD747C0" w14:textId="456A097B" w:rsidR="0005361F" w:rsidRPr="0025614E" w:rsidRDefault="0005361F" w:rsidP="003A493B">
      <w:pPr>
        <w:rPr>
          <w:color w:val="2F5496" w:themeColor="accent1" w:themeShade="BF"/>
          <w:sz w:val="26"/>
          <w:szCs w:val="26"/>
        </w:rPr>
      </w:pPr>
      <w:r w:rsidRPr="0025614E">
        <w:rPr>
          <w:color w:val="2F5496" w:themeColor="accent1" w:themeShade="BF"/>
          <w:sz w:val="26"/>
          <w:szCs w:val="26"/>
        </w:rPr>
        <w:t>Low income families:</w:t>
      </w:r>
    </w:p>
    <w:p w14:paraId="73E124B0" w14:textId="33546C91" w:rsidR="0005361F" w:rsidRPr="0025614E" w:rsidRDefault="3A539BEF" w:rsidP="003A493B">
      <w:pPr>
        <w:rPr>
          <w:rFonts w:cstheme="minorHAnsi"/>
          <w:sz w:val="24"/>
          <w:szCs w:val="24"/>
          <w:lang w:val="en" w:eastAsia="en-GB"/>
        </w:rPr>
      </w:pPr>
      <w:r w:rsidRPr="0025614E">
        <w:rPr>
          <w:rFonts w:cstheme="minorHAnsi"/>
          <w:sz w:val="24"/>
          <w:szCs w:val="24"/>
          <w:lang w:val="en" w:eastAsia="en-GB"/>
        </w:rPr>
        <w:t xml:space="preserve">Over a quarter of children in Sandwell were in low income families at 28.2% which is much higher than the national figure of 15.6%. The proportion has increased in Sandwell in 19/20 which is likely to have been linked to the Pandemic. </w:t>
      </w:r>
    </w:p>
    <w:p w14:paraId="5CA6811B"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The Marmot Review suggests that childhood poverty leads to premature mortality and poor health outcomes for adults. Reducing the numbers of children who experience poverty could improve these adult health outcomes and increase healthy life expectancy.</w:t>
      </w:r>
    </w:p>
    <w:p w14:paraId="46BF2ECF" w14:textId="6B5D66DE" w:rsidR="3A539BEF" w:rsidRPr="0025614E" w:rsidRDefault="3A539BEF" w:rsidP="3B5889E1">
      <w:pPr>
        <w:rPr>
          <w:rFonts w:cstheme="minorHAnsi"/>
          <w:sz w:val="24"/>
          <w:szCs w:val="24"/>
          <w:lang w:val="en" w:eastAsia="en-GB"/>
        </w:rPr>
      </w:pPr>
      <w:r w:rsidRPr="0025614E">
        <w:rPr>
          <w:rFonts w:cstheme="minorHAnsi"/>
          <w:sz w:val="24"/>
          <w:szCs w:val="24"/>
          <w:lang w:val="en" w:eastAsia="en-GB"/>
        </w:rPr>
        <w:t xml:space="preserve">The Public Health team are working on rolling out a Poverty Proofing School Programme supporting a change in school culture, policies and procedures to ensure children living in poverty do not experience unnecessary disadvantage. Across childrens services, the Early Help plans set out target many areas which poverty can impact on childhood experiences. </w:t>
      </w:r>
    </w:p>
    <w:p w14:paraId="2B7C6A93" w14:textId="3810C424" w:rsidR="00F614FB" w:rsidRDefault="00F614FB" w:rsidP="00F614FB">
      <w:pPr>
        <w:rPr>
          <w:rFonts w:cs="Arial"/>
          <w:b/>
          <w:sz w:val="24"/>
          <w:szCs w:val="24"/>
        </w:rPr>
      </w:pPr>
      <w:r>
        <w:rPr>
          <w:rFonts w:cs="Arial"/>
          <w:b/>
          <w:sz w:val="24"/>
          <w:szCs w:val="24"/>
        </w:rPr>
        <w:t>Figure 4.</w:t>
      </w:r>
      <w:r w:rsidR="00985731">
        <w:rPr>
          <w:rFonts w:cs="Arial"/>
          <w:b/>
          <w:sz w:val="24"/>
          <w:szCs w:val="24"/>
        </w:rPr>
        <w:t>10</w:t>
      </w:r>
      <w:r w:rsidRPr="009C33D3">
        <w:rPr>
          <w:rFonts w:cs="Arial"/>
          <w:b/>
          <w:sz w:val="24"/>
          <w:szCs w:val="24"/>
        </w:rPr>
        <w:t xml:space="preserve">: </w:t>
      </w:r>
      <w:r>
        <w:rPr>
          <w:rFonts w:cs="Arial"/>
          <w:b/>
          <w:sz w:val="24"/>
          <w:szCs w:val="24"/>
        </w:rPr>
        <w:t xml:space="preserve">Children in absolute low income families </w:t>
      </w:r>
    </w:p>
    <w:p w14:paraId="2A6DC9D1" w14:textId="471276B0" w:rsidR="0005361F" w:rsidRDefault="0005361F" w:rsidP="0005361F">
      <w:pPr>
        <w:rPr>
          <w:rFonts w:eastAsiaTheme="majorEastAsia"/>
        </w:rPr>
      </w:pPr>
      <w:r w:rsidRPr="0005361F">
        <w:rPr>
          <w:rFonts w:eastAsiaTheme="majorEastAsia" w:cstheme="majorBidi"/>
          <w:noProof/>
          <w:color w:val="2F5496" w:themeColor="accent1" w:themeShade="BF"/>
        </w:rPr>
        <w:drawing>
          <wp:inline distT="0" distB="0" distL="0" distR="0" wp14:anchorId="62ED27A2" wp14:editId="3AA4AAF0">
            <wp:extent cx="5731510" cy="1998049"/>
            <wp:effectExtent l="19050" t="19050" r="2159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7948" t="43727" r="16741" b="15797"/>
                    <a:stretch/>
                  </pic:blipFill>
                  <pic:spPr bwMode="auto">
                    <a:xfrm>
                      <a:off x="0" y="0"/>
                      <a:ext cx="5731510" cy="19980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C495E2" w14:textId="77777777" w:rsidR="003A493B" w:rsidRDefault="003A493B" w:rsidP="0025614E">
      <w:pPr>
        <w:spacing w:after="0"/>
        <w:rPr>
          <w:color w:val="2F5496" w:themeColor="accent1" w:themeShade="BF"/>
          <w:sz w:val="26"/>
          <w:szCs w:val="26"/>
        </w:rPr>
      </w:pPr>
    </w:p>
    <w:p w14:paraId="1ED342D5" w14:textId="77777777" w:rsidR="003A493B" w:rsidRDefault="003A493B" w:rsidP="003A493B">
      <w:pPr>
        <w:rPr>
          <w:color w:val="2F5496" w:themeColor="accent1" w:themeShade="BF"/>
          <w:sz w:val="26"/>
          <w:szCs w:val="26"/>
        </w:rPr>
      </w:pPr>
    </w:p>
    <w:p w14:paraId="02E5E171" w14:textId="77777777" w:rsidR="003A493B" w:rsidRDefault="003A493B" w:rsidP="003A493B">
      <w:pPr>
        <w:rPr>
          <w:color w:val="2F5496" w:themeColor="accent1" w:themeShade="BF"/>
          <w:sz w:val="26"/>
          <w:szCs w:val="26"/>
        </w:rPr>
      </w:pPr>
    </w:p>
    <w:p w14:paraId="76DB2173" w14:textId="29B79543" w:rsidR="0005361F" w:rsidRPr="0025614E" w:rsidRDefault="0005361F" w:rsidP="003A493B">
      <w:pPr>
        <w:rPr>
          <w:color w:val="2F5496" w:themeColor="accent1" w:themeShade="BF"/>
          <w:sz w:val="26"/>
          <w:szCs w:val="26"/>
        </w:rPr>
      </w:pPr>
      <w:r w:rsidRPr="0025614E">
        <w:rPr>
          <w:color w:val="2F5496" w:themeColor="accent1" w:themeShade="BF"/>
          <w:sz w:val="26"/>
          <w:szCs w:val="26"/>
        </w:rPr>
        <w:t>Not in Education, Employment or Training (NEET):</w:t>
      </w:r>
    </w:p>
    <w:p w14:paraId="5BE07BA5" w14:textId="538D0FA6" w:rsidR="0005361F" w:rsidRPr="0025614E" w:rsidRDefault="0005361F" w:rsidP="003A493B">
      <w:pPr>
        <w:rPr>
          <w:rFonts w:cstheme="minorHAnsi"/>
          <w:sz w:val="24"/>
          <w:szCs w:val="24"/>
          <w:lang w:val="en" w:eastAsia="en-GB"/>
        </w:rPr>
      </w:pPr>
      <w:r w:rsidRPr="0025614E">
        <w:rPr>
          <w:rFonts w:cstheme="minorHAnsi"/>
          <w:sz w:val="24"/>
          <w:szCs w:val="24"/>
          <w:lang w:val="en" w:eastAsia="en-GB"/>
        </w:rPr>
        <w:t>In Sandwell 2.9% of 16-18yr olds are not in education or training this figure is breaking from the national trend by decreasing year on year since 2016. The percentage in Sandwell is much lower than the national average of 5.5%. These young people are at greater risk of a range of negative outcomes, including poor health, depression or early parenthood. Connexions works across several services to support young people, particularly the most vulnerable, to engage in education, training and work.</w:t>
      </w:r>
    </w:p>
    <w:p w14:paraId="114D3787" w14:textId="5F78ACEC" w:rsidR="0005361F" w:rsidRPr="0025614E" w:rsidRDefault="0005361F" w:rsidP="0005361F">
      <w:pPr>
        <w:rPr>
          <w:rFonts w:cstheme="minorHAnsi"/>
          <w:sz w:val="24"/>
          <w:szCs w:val="24"/>
          <w:lang w:val="en" w:eastAsia="en-GB"/>
        </w:rPr>
      </w:pPr>
      <w:r w:rsidRPr="0025614E">
        <w:rPr>
          <w:rFonts w:cstheme="minorHAnsi"/>
          <w:sz w:val="24"/>
          <w:szCs w:val="24"/>
          <w:lang w:val="en" w:eastAsia="en-GB"/>
        </w:rPr>
        <w:t>Public Health has provided funding to reduce the number of Sandwell young people who are not in education, employment or training. Connexions tracks over 14,000 young people each year to enable smooth transitions at key points in the learner journey. The early identification enables us to target support where it’s required and reduce the percentage of young people whose destination is not known (NK%).</w:t>
      </w:r>
    </w:p>
    <w:p w14:paraId="7A361E85" w14:textId="04A19A10" w:rsidR="0005361F" w:rsidRPr="0025614E" w:rsidRDefault="00F53514" w:rsidP="0005361F">
      <w:pPr>
        <w:rPr>
          <w:rFonts w:cstheme="minorHAnsi"/>
          <w:sz w:val="24"/>
          <w:szCs w:val="24"/>
          <w:lang w:val="en" w:eastAsia="en-GB"/>
        </w:rPr>
      </w:pPr>
      <w:r w:rsidRPr="0025614E">
        <w:rPr>
          <w:rFonts w:cstheme="minorHAnsi"/>
          <w:sz w:val="24"/>
          <w:szCs w:val="24"/>
          <w:lang w:val="en" w:eastAsia="en-GB"/>
        </w:rPr>
        <w:t>Connexions developed</w:t>
      </w:r>
      <w:r w:rsidR="0005361F" w:rsidRPr="0025614E">
        <w:rPr>
          <w:rFonts w:cstheme="minorHAnsi"/>
          <w:sz w:val="24"/>
          <w:szCs w:val="24"/>
          <w:lang w:val="en" w:eastAsia="en-GB"/>
        </w:rPr>
        <w:t xml:space="preserve"> a </w:t>
      </w:r>
      <w:r w:rsidRPr="0025614E">
        <w:rPr>
          <w:rFonts w:cstheme="minorHAnsi"/>
          <w:sz w:val="24"/>
          <w:szCs w:val="24"/>
          <w:lang w:val="en" w:eastAsia="en-GB"/>
        </w:rPr>
        <w:t>new virtual</w:t>
      </w:r>
      <w:r w:rsidR="0005361F" w:rsidRPr="0025614E">
        <w:rPr>
          <w:rFonts w:cstheme="minorHAnsi"/>
          <w:sz w:val="24"/>
          <w:szCs w:val="24"/>
          <w:lang w:val="en" w:eastAsia="en-GB"/>
        </w:rPr>
        <w:t xml:space="preserve"> offer to Young people and parents/carers including those in the vulnerable groups. Virtual careers events and online careers guidance interviews and enhanced contact via phone, text, email which included high levels of advocacy to support the progression of Children in Care whilst face to face opportunities were reduced in Covid. In addition the website was vastly improved.</w:t>
      </w:r>
    </w:p>
    <w:p w14:paraId="21DB5D6A"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Connexions staff were able to make safe and well check calls to families/young people, identify families in need of food, deliver food and study packs and deliver laptops to young people to enable them to continue their studies from home virtually.</w:t>
      </w:r>
    </w:p>
    <w:p w14:paraId="1FE24C59"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Connexions staff staffed the Covid support line providing advice for school leadership teams.</w:t>
      </w:r>
    </w:p>
    <w:p w14:paraId="2369DDB7" w14:textId="77777777" w:rsidR="0005361F" w:rsidRPr="0025614E" w:rsidRDefault="0005361F" w:rsidP="0005361F">
      <w:pPr>
        <w:rPr>
          <w:rFonts w:cstheme="minorHAnsi"/>
          <w:sz w:val="24"/>
          <w:szCs w:val="24"/>
          <w:lang w:val="en" w:eastAsia="en-GB"/>
        </w:rPr>
      </w:pPr>
      <w:r w:rsidRPr="0025614E">
        <w:rPr>
          <w:rFonts w:cstheme="minorHAnsi"/>
          <w:sz w:val="24"/>
          <w:szCs w:val="24"/>
          <w:lang w:val="en" w:eastAsia="en-GB"/>
        </w:rPr>
        <w:t>As part of an initiative between Nando’s and Shaw Trust Connexions staff worked with partners to identify young people in need and assisted in distributing NANDOs meal vouchers to as an</w:t>
      </w:r>
      <w:r w:rsidR="00F53514" w:rsidRPr="0025614E">
        <w:rPr>
          <w:rFonts w:cstheme="minorHAnsi"/>
          <w:sz w:val="24"/>
          <w:szCs w:val="24"/>
          <w:lang w:val="en" w:eastAsia="en-GB"/>
        </w:rPr>
        <w:t xml:space="preserve"> </w:t>
      </w:r>
      <w:r w:rsidRPr="0025614E">
        <w:rPr>
          <w:rFonts w:cstheme="minorHAnsi"/>
          <w:sz w:val="24"/>
          <w:szCs w:val="24"/>
          <w:lang w:val="en" w:eastAsia="en-GB"/>
        </w:rPr>
        <w:t>incentive/encouragement/reward for young people to achieve/who had achieved. This helped in enabling independence, motivating and engaging young people.</w:t>
      </w:r>
    </w:p>
    <w:p w14:paraId="3D41D8F9" w14:textId="1FF949EC" w:rsidR="0005361F" w:rsidRDefault="00587C09" w:rsidP="0005361F">
      <w:pPr>
        <w:rPr>
          <w:rFonts w:eastAsiaTheme="majorEastAsia"/>
        </w:rPr>
      </w:pPr>
      <w:r>
        <w:rPr>
          <w:rFonts w:cs="Arial"/>
          <w:b/>
          <w:sz w:val="24"/>
          <w:szCs w:val="24"/>
        </w:rPr>
        <w:t xml:space="preserve">Figure </w:t>
      </w:r>
      <w:r w:rsidR="00F614FB">
        <w:rPr>
          <w:rFonts w:cs="Arial"/>
          <w:b/>
          <w:sz w:val="24"/>
          <w:szCs w:val="24"/>
        </w:rPr>
        <w:t>4.</w:t>
      </w:r>
      <w:r w:rsidR="00985731">
        <w:rPr>
          <w:rFonts w:cs="Arial"/>
          <w:b/>
          <w:sz w:val="24"/>
          <w:szCs w:val="24"/>
        </w:rPr>
        <w:t>11</w:t>
      </w:r>
      <w:r w:rsidRPr="009C33D3">
        <w:rPr>
          <w:rFonts w:cs="Arial"/>
          <w:b/>
          <w:sz w:val="24"/>
          <w:szCs w:val="24"/>
        </w:rPr>
        <w:t xml:space="preserve">: </w:t>
      </w:r>
      <w:r>
        <w:rPr>
          <w:rFonts w:cs="Arial"/>
          <w:b/>
          <w:sz w:val="24"/>
          <w:szCs w:val="24"/>
        </w:rPr>
        <w:t xml:space="preserve">16-17 year olds Not in education, Employment or Training. </w:t>
      </w:r>
    </w:p>
    <w:p w14:paraId="4A8FFC9A" w14:textId="2D083B87" w:rsidR="0005361F" w:rsidRDefault="0005361F" w:rsidP="0005361F">
      <w:pPr>
        <w:rPr>
          <w:rFonts w:eastAsiaTheme="majorEastAsia"/>
        </w:rPr>
      </w:pPr>
      <w:r w:rsidRPr="0005361F">
        <w:rPr>
          <w:rFonts w:eastAsiaTheme="majorEastAsia" w:cstheme="majorBidi"/>
          <w:noProof/>
          <w:color w:val="2F5496" w:themeColor="accent1" w:themeShade="BF"/>
        </w:rPr>
        <w:drawing>
          <wp:inline distT="0" distB="0" distL="0" distR="0" wp14:anchorId="2FE08562" wp14:editId="5369C430">
            <wp:extent cx="5713400" cy="1924050"/>
            <wp:effectExtent l="19050" t="19050" r="2095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8280" t="44022" r="17074" b="17274"/>
                    <a:stretch/>
                  </pic:blipFill>
                  <pic:spPr bwMode="auto">
                    <a:xfrm>
                      <a:off x="0" y="0"/>
                      <a:ext cx="5719242" cy="19260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3F0E4F" w14:textId="77777777" w:rsidR="003A493B" w:rsidRDefault="003A493B" w:rsidP="003A493B">
      <w:pPr>
        <w:rPr>
          <w:color w:val="2F5496" w:themeColor="accent1" w:themeShade="BF"/>
          <w:sz w:val="26"/>
          <w:szCs w:val="26"/>
        </w:rPr>
      </w:pPr>
    </w:p>
    <w:p w14:paraId="219AFC12" w14:textId="77777777" w:rsidR="003A493B" w:rsidRDefault="003A493B" w:rsidP="003A493B">
      <w:pPr>
        <w:rPr>
          <w:color w:val="2F5496" w:themeColor="accent1" w:themeShade="BF"/>
          <w:sz w:val="26"/>
          <w:szCs w:val="26"/>
        </w:rPr>
      </w:pPr>
    </w:p>
    <w:p w14:paraId="732149FE" w14:textId="1E14DE25" w:rsidR="00587C09" w:rsidRPr="0025614E" w:rsidRDefault="0005361F" w:rsidP="003A493B">
      <w:pPr>
        <w:rPr>
          <w:color w:val="2F5496" w:themeColor="accent1" w:themeShade="BF"/>
          <w:sz w:val="26"/>
          <w:szCs w:val="26"/>
        </w:rPr>
      </w:pPr>
      <w:r w:rsidRPr="0025614E">
        <w:rPr>
          <w:color w:val="2F5496" w:themeColor="accent1" w:themeShade="BF"/>
          <w:sz w:val="26"/>
          <w:szCs w:val="26"/>
        </w:rPr>
        <w:t xml:space="preserve">Crime: </w:t>
      </w:r>
    </w:p>
    <w:p w14:paraId="32C2DDF3" w14:textId="6E48F939" w:rsidR="0005361F" w:rsidRPr="0025614E" w:rsidRDefault="0005361F" w:rsidP="003A493B">
      <w:pPr>
        <w:rPr>
          <w:rFonts w:cstheme="minorHAnsi"/>
          <w:sz w:val="24"/>
          <w:szCs w:val="24"/>
          <w:lang w:val="en" w:eastAsia="en-GB"/>
        </w:rPr>
      </w:pPr>
      <w:r w:rsidRPr="0025614E">
        <w:rPr>
          <w:rFonts w:cstheme="minorHAnsi"/>
          <w:sz w:val="24"/>
          <w:szCs w:val="24"/>
          <w:lang w:val="en" w:eastAsia="en-GB"/>
        </w:rPr>
        <w:t>The rate of new entrants into the youth justi</w:t>
      </w:r>
      <w:r w:rsidR="00587C09" w:rsidRPr="0025614E">
        <w:rPr>
          <w:rFonts w:cstheme="minorHAnsi"/>
          <w:sz w:val="24"/>
          <w:szCs w:val="24"/>
          <w:lang w:val="en" w:eastAsia="en-GB"/>
        </w:rPr>
        <w:t xml:space="preserve">ce system is decreasing overall meaning that less children are entering the youth justice system. Although the rate is slightly </w:t>
      </w:r>
      <w:r w:rsidRPr="0025614E">
        <w:rPr>
          <w:rFonts w:cstheme="minorHAnsi"/>
          <w:sz w:val="24"/>
          <w:szCs w:val="24"/>
          <w:lang w:val="en" w:eastAsia="en-GB"/>
        </w:rPr>
        <w:t>higher than the national rate</w:t>
      </w:r>
      <w:r w:rsidR="00587C09" w:rsidRPr="0025614E">
        <w:rPr>
          <w:rFonts w:cstheme="minorHAnsi"/>
          <w:sz w:val="24"/>
          <w:szCs w:val="24"/>
          <w:lang w:val="en" w:eastAsia="en-GB"/>
        </w:rPr>
        <w:t xml:space="preserve">, due to the deprivation in Sandwell we would expect this to be much higher. This is likely linked to the indicator above regarding children who are in Employment, Education or training; meaning that children have good options for their career and their free time and are therefore less likely to become involved in crime.   </w:t>
      </w:r>
    </w:p>
    <w:p w14:paraId="6263022E" w14:textId="4F7EFF52" w:rsidR="00587C09" w:rsidRDefault="00587C09" w:rsidP="00587C09">
      <w:pPr>
        <w:rPr>
          <w:rFonts w:eastAsiaTheme="majorEastAsia"/>
        </w:rPr>
      </w:pPr>
      <w:r>
        <w:rPr>
          <w:rFonts w:cs="Arial"/>
          <w:b/>
          <w:sz w:val="24"/>
          <w:szCs w:val="24"/>
        </w:rPr>
        <w:t xml:space="preserve">Figure </w:t>
      </w:r>
      <w:r w:rsidR="00F614FB">
        <w:rPr>
          <w:rFonts w:cs="Arial"/>
          <w:b/>
          <w:sz w:val="24"/>
          <w:szCs w:val="24"/>
        </w:rPr>
        <w:t>4.1</w:t>
      </w:r>
      <w:r w:rsidR="00985731">
        <w:rPr>
          <w:rFonts w:cs="Arial"/>
          <w:b/>
          <w:sz w:val="24"/>
          <w:szCs w:val="24"/>
        </w:rPr>
        <w:t>2</w:t>
      </w:r>
      <w:r w:rsidRPr="009C33D3">
        <w:rPr>
          <w:rFonts w:cs="Arial"/>
          <w:b/>
          <w:sz w:val="24"/>
          <w:szCs w:val="24"/>
        </w:rPr>
        <w:t xml:space="preserve">: </w:t>
      </w:r>
      <w:r>
        <w:rPr>
          <w:rFonts w:cs="Arial"/>
          <w:b/>
          <w:sz w:val="24"/>
          <w:szCs w:val="24"/>
        </w:rPr>
        <w:t xml:space="preserve">First time entrants to the youth justice system </w:t>
      </w:r>
    </w:p>
    <w:p w14:paraId="5E0F0200" w14:textId="0F2F60D2" w:rsidR="00587C09" w:rsidRPr="00587C09" w:rsidRDefault="00587C09" w:rsidP="00587C09">
      <w:pPr>
        <w:spacing w:line="259" w:lineRule="auto"/>
        <w:rPr>
          <w:rFonts w:eastAsiaTheme="majorEastAsia" w:cstheme="majorBidi"/>
          <w:color w:val="2F5496" w:themeColor="accent1" w:themeShade="BF"/>
        </w:rPr>
      </w:pPr>
      <w:r w:rsidRPr="0005361F">
        <w:rPr>
          <w:rFonts w:eastAsiaTheme="majorEastAsia" w:cstheme="majorBidi"/>
          <w:noProof/>
          <w:color w:val="2F5496" w:themeColor="accent1" w:themeShade="BF"/>
        </w:rPr>
        <w:drawing>
          <wp:inline distT="0" distB="0" distL="0" distR="0" wp14:anchorId="27A216EE" wp14:editId="5D217B17">
            <wp:extent cx="5667352" cy="2504661"/>
            <wp:effectExtent l="19050" t="19050" r="10160" b="1016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7782" t="44023" r="19068" b="6342"/>
                    <a:stretch/>
                  </pic:blipFill>
                  <pic:spPr bwMode="auto">
                    <a:xfrm>
                      <a:off x="0" y="0"/>
                      <a:ext cx="5686458" cy="25131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2B693B" w14:textId="75C1BA84" w:rsidR="0005361F" w:rsidRPr="0005361F" w:rsidRDefault="0005361F" w:rsidP="0005361F">
      <w:pPr>
        <w:pStyle w:val="ListParagraph"/>
        <w:spacing w:line="259" w:lineRule="auto"/>
        <w:rPr>
          <w:rFonts w:eastAsiaTheme="majorEastAsia" w:cstheme="majorBidi"/>
          <w:color w:val="2F5496" w:themeColor="accent1" w:themeShade="BF"/>
        </w:rPr>
      </w:pPr>
    </w:p>
    <w:p w14:paraId="5192848D" w14:textId="0445C17A" w:rsidR="00E74157" w:rsidRPr="00863E67" w:rsidRDefault="00E74157" w:rsidP="00587C09">
      <w:pPr>
        <w:spacing w:line="259" w:lineRule="auto"/>
        <w:rPr>
          <w:rFonts w:eastAsiaTheme="majorEastAsia" w:cstheme="majorBidi"/>
          <w:color w:val="2F5496" w:themeColor="accent1" w:themeShade="BF"/>
          <w:sz w:val="24"/>
          <w:szCs w:val="24"/>
        </w:rPr>
      </w:pPr>
    </w:p>
    <w:sectPr w:rsidR="00E74157" w:rsidRPr="00863E67" w:rsidSect="008F2363">
      <w:footerReference w:type="default" r:id="rId126"/>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B8B27" w14:textId="77777777" w:rsidR="00BD6487" w:rsidRDefault="00BD6487" w:rsidP="002D5B3D">
      <w:pPr>
        <w:spacing w:after="0" w:line="240" w:lineRule="auto"/>
      </w:pPr>
      <w:r>
        <w:separator/>
      </w:r>
    </w:p>
  </w:endnote>
  <w:endnote w:type="continuationSeparator" w:id="0">
    <w:p w14:paraId="14F8C619" w14:textId="77777777" w:rsidR="00BD6487" w:rsidRDefault="00BD6487" w:rsidP="002D5B3D">
      <w:pPr>
        <w:spacing w:after="0" w:line="240" w:lineRule="auto"/>
      </w:pPr>
      <w:r>
        <w:continuationSeparator/>
      </w:r>
    </w:p>
  </w:endnote>
  <w:endnote w:type="continuationNotice" w:id="1">
    <w:p w14:paraId="3FE498F4" w14:textId="77777777" w:rsidR="00BD6487" w:rsidRDefault="00BD64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opia W01">
    <w:altName w:val="Calibri"/>
    <w:charset w:val="00"/>
    <w:family w:val="auto"/>
    <w:pitch w:val="default"/>
  </w:font>
  <w:font w:name="Frutiger W01">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NSPCC-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057321"/>
      <w:docPartObj>
        <w:docPartGallery w:val="Page Numbers (Bottom of Page)"/>
        <w:docPartUnique/>
      </w:docPartObj>
    </w:sdtPr>
    <w:sdtEndPr>
      <w:rPr>
        <w:noProof/>
      </w:rPr>
    </w:sdtEndPr>
    <w:sdtContent>
      <w:p w14:paraId="5470182D" w14:textId="4F605467" w:rsidR="00BD6487" w:rsidRDefault="00BD64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103DBB" w14:textId="77777777" w:rsidR="00BD6487" w:rsidRDefault="00BD6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3B4EE" w14:textId="77777777" w:rsidR="00BD6487" w:rsidRDefault="00BD6487" w:rsidP="002D5B3D">
      <w:pPr>
        <w:spacing w:after="0" w:line="240" w:lineRule="auto"/>
      </w:pPr>
      <w:r>
        <w:separator/>
      </w:r>
    </w:p>
  </w:footnote>
  <w:footnote w:type="continuationSeparator" w:id="0">
    <w:p w14:paraId="73E7CC1B" w14:textId="77777777" w:rsidR="00BD6487" w:rsidRDefault="00BD6487" w:rsidP="002D5B3D">
      <w:pPr>
        <w:spacing w:after="0" w:line="240" w:lineRule="auto"/>
      </w:pPr>
      <w:r>
        <w:continuationSeparator/>
      </w:r>
    </w:p>
  </w:footnote>
  <w:footnote w:type="continuationNotice" w:id="1">
    <w:p w14:paraId="4B65F215" w14:textId="77777777" w:rsidR="00BD6487" w:rsidRDefault="00BD6487">
      <w:pPr>
        <w:spacing w:after="0" w:line="240" w:lineRule="auto"/>
      </w:pPr>
    </w:p>
  </w:footnote>
  <w:footnote w:id="2">
    <w:p w14:paraId="0F3D5B4D" w14:textId="77777777" w:rsidR="00BD6487" w:rsidRDefault="00BD6487" w:rsidP="00817CEC">
      <w:pPr>
        <w:pStyle w:val="FootnoteText"/>
      </w:pPr>
      <w:r>
        <w:rPr>
          <w:rStyle w:val="FootnoteReference"/>
        </w:rPr>
        <w:footnoteRef/>
      </w:r>
      <w:r>
        <w:t xml:space="preserve"> </w:t>
      </w:r>
      <w:r w:rsidRPr="00364072">
        <w:t>https://www.gov.uk/government/publications/are-you-ready-good-practice-in-school-readiness</w:t>
      </w:r>
    </w:p>
  </w:footnote>
  <w:footnote w:id="3">
    <w:p w14:paraId="3FE45943" w14:textId="77777777" w:rsidR="00BD6487" w:rsidRDefault="00BD6487" w:rsidP="00817CEC">
      <w:pPr>
        <w:pStyle w:val="FootnoteText"/>
      </w:pPr>
      <w:r>
        <w:rPr>
          <w:rStyle w:val="FootnoteReference"/>
        </w:rPr>
        <w:footnoteRef/>
      </w:r>
      <w:r>
        <w:t xml:space="preserve"> h</w:t>
      </w:r>
      <w:r w:rsidRPr="002F0642">
        <w:t>ttps://assets.publishing.service.gov.uk/government/uploads/system/uploads/attachment_data/file/596629/EYFS_STATUTORY_FRAMEWORK_2017.pdf</w:t>
      </w:r>
    </w:p>
  </w:footnote>
  <w:footnote w:id="4">
    <w:p w14:paraId="58105ECF" w14:textId="77777777" w:rsidR="00BD6487" w:rsidRDefault="00BD6487" w:rsidP="00003903">
      <w:pPr>
        <w:pStyle w:val="FootnoteText"/>
      </w:pPr>
      <w:r>
        <w:rPr>
          <w:rStyle w:val="FootnoteReference"/>
        </w:rPr>
        <w:footnoteRef/>
      </w:r>
      <w:r>
        <w:t xml:space="preserve"> Special educational needs in England: January 2019 (</w:t>
      </w:r>
      <w:r w:rsidRPr="00AC0FCD">
        <w:t>https://assets.publishing.service.gov.uk/government/uploads/system/uploads/attachment_data/file/814244/SEN_2019_Text.docx.pdf</w:t>
      </w:r>
      <w:r>
        <w:t>)</w:t>
      </w:r>
    </w:p>
  </w:footnote>
  <w:footnote w:id="5">
    <w:p w14:paraId="0712111B" w14:textId="77777777" w:rsidR="00BD6487" w:rsidRDefault="00BD6487" w:rsidP="00003903">
      <w:pPr>
        <w:pStyle w:val="FootnoteText"/>
      </w:pPr>
      <w:r>
        <w:rPr>
          <w:rStyle w:val="FootnoteReference"/>
        </w:rPr>
        <w:footnoteRef/>
      </w:r>
      <w:r>
        <w:t xml:space="preserve"> Special educational needs in England: January 2019 </w:t>
      </w:r>
      <w:r w:rsidRPr="00BF345A">
        <w:t>https://assets.publishing.service.gov.uk/government/uploads/system/uploads/attachment_data/file/814244/SEN_2019_Text.docx.pdf</w:t>
      </w:r>
    </w:p>
  </w:footnote>
  <w:footnote w:id="6">
    <w:p w14:paraId="5B26ED7B" w14:textId="77777777" w:rsidR="00BD6487" w:rsidRDefault="00BD6487" w:rsidP="00003903">
      <w:pPr>
        <w:pStyle w:val="FootnoteText"/>
      </w:pPr>
      <w:r>
        <w:rPr>
          <w:rStyle w:val="FootnoteReference"/>
        </w:rPr>
        <w:footnoteRef/>
      </w:r>
      <w:r>
        <w:t xml:space="preserve"> </w:t>
      </w:r>
      <w:r>
        <w:rPr>
          <w:rStyle w:val="FootnoteReference"/>
        </w:rPr>
        <w:footnoteRef/>
      </w:r>
      <w:r>
        <w:t xml:space="preserve"> Special educational needs in England: January 2019 </w:t>
      </w:r>
      <w:r w:rsidRPr="00BF345A">
        <w:t>https://assets.publishing.service.gov.uk/government/uploads/system/uploads/attachment_data/file/814244/SEN_2019_Text.docx.pdf</w:t>
      </w:r>
    </w:p>
  </w:footnote>
  <w:footnote w:id="7">
    <w:p w14:paraId="7F717C1E" w14:textId="77777777" w:rsidR="00BD6487" w:rsidRDefault="00BD6487" w:rsidP="00003903">
      <w:pPr>
        <w:pStyle w:val="FootnoteText"/>
      </w:pPr>
      <w:r>
        <w:rPr>
          <w:rStyle w:val="FootnoteReference"/>
        </w:rPr>
        <w:footnoteRef/>
      </w:r>
      <w:r>
        <w:t xml:space="preserve"> h</w:t>
      </w:r>
      <w:r w:rsidRPr="005C3F44">
        <w:t>ttps://assets.publishing.service.gov.uk/government/uploads/system/uploads/attachment_data/file/695100/Education_Health_and_Care_plans_-_a_qualitative_investigation.pdf</w:t>
      </w:r>
    </w:p>
  </w:footnote>
  <w:footnote w:id="8">
    <w:p w14:paraId="3FB39571" w14:textId="6725555F" w:rsidR="00BD6487" w:rsidRDefault="00BD6487" w:rsidP="00003903">
      <w:pPr>
        <w:pStyle w:val="FootnoteText"/>
      </w:pPr>
      <w:r>
        <w:rPr>
          <w:rStyle w:val="FootnoteReference"/>
        </w:rPr>
        <w:footnoteRef/>
      </w:r>
      <w:r>
        <w:t xml:space="preserve"> </w:t>
      </w:r>
      <w:r>
        <w:rPr>
          <w:rFonts w:cstheme="minorHAnsi"/>
        </w:rPr>
        <w:t xml:space="preserve">data.gov.uk- Education data </w:t>
      </w:r>
    </w:p>
  </w:footnote>
  <w:footnote w:id="9">
    <w:p w14:paraId="6778E458" w14:textId="77777777" w:rsidR="00BD6487" w:rsidRPr="00F96C38" w:rsidRDefault="00BD6487" w:rsidP="00003903">
      <w:pPr>
        <w:pStyle w:val="ListParagraph"/>
        <w:ind w:left="360"/>
        <w:rPr>
          <w:bCs/>
          <w:lang w:val="en-US" w:eastAsia="en-GB"/>
        </w:rPr>
      </w:pPr>
      <w:r>
        <w:rPr>
          <w:rStyle w:val="FootnoteReference"/>
        </w:rPr>
        <w:footnoteRef/>
      </w:r>
      <w:r>
        <w:t xml:space="preserve"> </w:t>
      </w:r>
      <w:r w:rsidRPr="00F96C38">
        <w:rPr>
          <w:rFonts w:cstheme="minorHAnsi"/>
        </w:rPr>
        <w:t>Source:</w:t>
      </w:r>
      <w:r w:rsidRPr="00F96C38">
        <w:rPr>
          <w:bCs/>
          <w:lang w:val="en-US" w:eastAsia="en-GB"/>
        </w:rPr>
        <w:t xml:space="preserve"> Sandwell MBC SEN Service – ONE System  </w:t>
      </w:r>
      <w:r w:rsidRPr="00F96C38">
        <w:rPr>
          <w:rFonts w:cstheme="minorHAnsi"/>
        </w:rPr>
        <w:t>* 97% of ethnicities are known</w:t>
      </w:r>
    </w:p>
    <w:p w14:paraId="23DCEB12" w14:textId="77777777" w:rsidR="00BD6487" w:rsidRDefault="00BD6487" w:rsidP="00003903">
      <w:pPr>
        <w:pStyle w:val="FootnoteText"/>
      </w:pPr>
    </w:p>
  </w:footnote>
  <w:footnote w:id="10">
    <w:p w14:paraId="6D32E8FA" w14:textId="77777777" w:rsidR="00BD6487" w:rsidRDefault="00BD6487" w:rsidP="00003903">
      <w:pPr>
        <w:rPr>
          <w:rFonts w:cstheme="majorHAnsi"/>
        </w:rPr>
      </w:pPr>
      <w:r>
        <w:rPr>
          <w:rStyle w:val="FootnoteReference"/>
        </w:rPr>
        <w:footnoteRef/>
      </w:r>
      <w:r>
        <w:t xml:space="preserve"> </w:t>
      </w:r>
      <w:r w:rsidRPr="00E637D4">
        <w:rPr>
          <w:rFonts w:cstheme="majorHAnsi"/>
        </w:rPr>
        <w:t xml:space="preserve">Source: SMBC Inclusion Support – Sensory Team </w:t>
      </w:r>
    </w:p>
    <w:p w14:paraId="5520BE0C" w14:textId="77777777" w:rsidR="00BD6487" w:rsidRDefault="00BD6487" w:rsidP="00003903">
      <w:pPr>
        <w:pStyle w:val="FootnoteText"/>
      </w:pPr>
    </w:p>
  </w:footnote>
  <w:footnote w:id="11">
    <w:p w14:paraId="6427BCAE" w14:textId="77777777" w:rsidR="00BD6487" w:rsidRDefault="00BD6487" w:rsidP="00003903">
      <w:pPr>
        <w:pStyle w:val="FootnoteText"/>
      </w:pPr>
      <w:r>
        <w:rPr>
          <w:rStyle w:val="FootnoteReference"/>
        </w:rPr>
        <w:footnoteRef/>
      </w:r>
      <w:r>
        <w:t xml:space="preserve"> Data is collected at a learning community level.  There is a possibility that some children live outside of the designated town for the learning community.</w:t>
      </w:r>
    </w:p>
  </w:footnote>
  <w:footnote w:id="12">
    <w:p w14:paraId="0AF62D70" w14:textId="77777777" w:rsidR="00BD6487" w:rsidRDefault="00BD6487" w:rsidP="0005361F">
      <w:pPr>
        <w:pStyle w:val="FootnoteText"/>
        <w:rPr>
          <w:color w:val="365F91"/>
          <w:u w:val="single"/>
        </w:rPr>
      </w:pPr>
      <w:r>
        <w:rPr>
          <w:rStyle w:val="FootnoteReference"/>
          <w:rFonts w:ascii="Arial" w:hAnsi="Arial"/>
        </w:rPr>
        <w:footnoteRef/>
      </w:r>
      <w:r>
        <w:rPr>
          <w:rStyle w:val="FootnoteReference"/>
          <w:rFonts w:ascii="Arial" w:hAnsi="Arial"/>
        </w:rPr>
        <w:t xml:space="preserve"> DWP (2008) ‘Ending child poverty: ev</w:t>
      </w:r>
      <w:r>
        <w:t>e</w:t>
      </w:r>
      <w:r>
        <w:rPr>
          <w:rStyle w:val="FootnoteReference"/>
          <w:rFonts w:ascii="Arial" w:hAnsi="Arial"/>
        </w:rPr>
        <w:t>rybody’s business’.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520D9"/>
    <w:multiLevelType w:val="hybridMultilevel"/>
    <w:tmpl w:val="BD7C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924"/>
    <w:multiLevelType w:val="hybridMultilevel"/>
    <w:tmpl w:val="607AAD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2B4F2D"/>
    <w:multiLevelType w:val="hybridMultilevel"/>
    <w:tmpl w:val="2F82F5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415676"/>
    <w:multiLevelType w:val="hybridMultilevel"/>
    <w:tmpl w:val="5C28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F01BC"/>
    <w:multiLevelType w:val="hybridMultilevel"/>
    <w:tmpl w:val="69182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C33EF"/>
    <w:multiLevelType w:val="hybridMultilevel"/>
    <w:tmpl w:val="4258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472F7"/>
    <w:multiLevelType w:val="hybridMultilevel"/>
    <w:tmpl w:val="9FB09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A35F8"/>
    <w:multiLevelType w:val="hybridMultilevel"/>
    <w:tmpl w:val="374A828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30A18E6"/>
    <w:multiLevelType w:val="hybridMultilevel"/>
    <w:tmpl w:val="DC24C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3724F"/>
    <w:multiLevelType w:val="hybridMultilevel"/>
    <w:tmpl w:val="00F4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64259"/>
    <w:multiLevelType w:val="hybridMultilevel"/>
    <w:tmpl w:val="BEC0467A"/>
    <w:lvl w:ilvl="0" w:tplc="A12CC17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C502A"/>
    <w:multiLevelType w:val="hybridMultilevel"/>
    <w:tmpl w:val="72AC8B62"/>
    <w:lvl w:ilvl="0" w:tplc="984E4F76">
      <w:start w:val="1"/>
      <w:numFmt w:val="decimal"/>
      <w:pStyle w:val="Numberedparagraph"/>
      <w:lvlText w:val="%1."/>
      <w:lvlJc w:val="left"/>
      <w:pPr>
        <w:tabs>
          <w:tab w:val="num" w:pos="2411"/>
        </w:tabs>
        <w:ind w:left="1844"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5230DC4"/>
    <w:multiLevelType w:val="hybridMultilevel"/>
    <w:tmpl w:val="A17C9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8466E"/>
    <w:multiLevelType w:val="multilevel"/>
    <w:tmpl w:val="7A90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861A2D"/>
    <w:multiLevelType w:val="hybridMultilevel"/>
    <w:tmpl w:val="CCBA8CE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187A4460"/>
    <w:multiLevelType w:val="hybridMultilevel"/>
    <w:tmpl w:val="D8862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9C12F32"/>
    <w:multiLevelType w:val="hybridMultilevel"/>
    <w:tmpl w:val="A01A7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395AC4"/>
    <w:multiLevelType w:val="hybridMultilevel"/>
    <w:tmpl w:val="C18EE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1E3BEB"/>
    <w:multiLevelType w:val="hybridMultilevel"/>
    <w:tmpl w:val="13B46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3513EA"/>
    <w:multiLevelType w:val="multilevel"/>
    <w:tmpl w:val="51FC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E45B92"/>
    <w:multiLevelType w:val="hybridMultilevel"/>
    <w:tmpl w:val="64603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E7602"/>
    <w:multiLevelType w:val="hybridMultilevel"/>
    <w:tmpl w:val="187A8A4A"/>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2" w15:restartNumberingAfterBreak="0">
    <w:nsid w:val="2FB035BE"/>
    <w:multiLevelType w:val="hybridMultilevel"/>
    <w:tmpl w:val="ECCA9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22072F"/>
    <w:multiLevelType w:val="hybridMultilevel"/>
    <w:tmpl w:val="24A2A2AA"/>
    <w:lvl w:ilvl="0" w:tplc="08090001">
      <w:start w:val="1"/>
      <w:numFmt w:val="bullet"/>
      <w:lvlText w:val=""/>
      <w:lvlJc w:val="left"/>
      <w:pPr>
        <w:ind w:left="1600" w:hanging="360"/>
      </w:pPr>
      <w:rPr>
        <w:rFonts w:ascii="Symbol" w:hAnsi="Symbol" w:hint="default"/>
        <w:w w:val="100"/>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BE695F"/>
    <w:multiLevelType w:val="hybridMultilevel"/>
    <w:tmpl w:val="49A83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055FB"/>
    <w:multiLevelType w:val="hybridMultilevel"/>
    <w:tmpl w:val="CD84F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6E44BE"/>
    <w:multiLevelType w:val="hybridMultilevel"/>
    <w:tmpl w:val="DD24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3156BB"/>
    <w:multiLevelType w:val="hybridMultilevel"/>
    <w:tmpl w:val="2F124CE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45730093"/>
    <w:multiLevelType w:val="hybridMultilevel"/>
    <w:tmpl w:val="0168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AD5339"/>
    <w:multiLevelType w:val="hybridMultilevel"/>
    <w:tmpl w:val="A574E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782855"/>
    <w:multiLevelType w:val="hybridMultilevel"/>
    <w:tmpl w:val="0DBA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61558B"/>
    <w:multiLevelType w:val="hybridMultilevel"/>
    <w:tmpl w:val="BB263B38"/>
    <w:lvl w:ilvl="0" w:tplc="EF66CC92">
      <w:numFmt w:val="bullet"/>
      <w:lvlText w:val="•"/>
      <w:lvlJc w:val="left"/>
      <w:pPr>
        <w:ind w:left="1080" w:hanging="72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95502E"/>
    <w:multiLevelType w:val="hybridMultilevel"/>
    <w:tmpl w:val="95AE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8A78AB"/>
    <w:multiLevelType w:val="hybridMultilevel"/>
    <w:tmpl w:val="12CA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72596"/>
    <w:multiLevelType w:val="hybridMultilevel"/>
    <w:tmpl w:val="2E22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004C28"/>
    <w:multiLevelType w:val="hybridMultilevel"/>
    <w:tmpl w:val="E200BC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AC44799"/>
    <w:multiLevelType w:val="hybridMultilevel"/>
    <w:tmpl w:val="E458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9469BB"/>
    <w:multiLevelType w:val="hybridMultilevel"/>
    <w:tmpl w:val="CC04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8F23F9"/>
    <w:multiLevelType w:val="hybridMultilevel"/>
    <w:tmpl w:val="669C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DD598F"/>
    <w:multiLevelType w:val="hybridMultilevel"/>
    <w:tmpl w:val="0400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303B90"/>
    <w:multiLevelType w:val="hybridMultilevel"/>
    <w:tmpl w:val="9998F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4B4A00"/>
    <w:multiLevelType w:val="hybridMultilevel"/>
    <w:tmpl w:val="3D60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D25E8C"/>
    <w:multiLevelType w:val="hybridMultilevel"/>
    <w:tmpl w:val="FA10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C16F2B"/>
    <w:multiLevelType w:val="hybridMultilevel"/>
    <w:tmpl w:val="D7C6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1B4CDF"/>
    <w:multiLevelType w:val="hybridMultilevel"/>
    <w:tmpl w:val="AB48995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5" w15:restartNumberingAfterBreak="0">
    <w:nsid w:val="772769FE"/>
    <w:multiLevelType w:val="hybridMultilevel"/>
    <w:tmpl w:val="115C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38"/>
  </w:num>
  <w:num w:numId="3">
    <w:abstractNumId w:val="5"/>
  </w:num>
  <w:num w:numId="4">
    <w:abstractNumId w:val="17"/>
  </w:num>
  <w:num w:numId="5">
    <w:abstractNumId w:val="36"/>
  </w:num>
  <w:num w:numId="6">
    <w:abstractNumId w:val="32"/>
  </w:num>
  <w:num w:numId="7">
    <w:abstractNumId w:val="11"/>
  </w:num>
  <w:num w:numId="8">
    <w:abstractNumId w:val="22"/>
  </w:num>
  <w:num w:numId="9">
    <w:abstractNumId w:val="33"/>
  </w:num>
  <w:num w:numId="10">
    <w:abstractNumId w:val="39"/>
  </w:num>
  <w:num w:numId="11">
    <w:abstractNumId w:val="4"/>
  </w:num>
  <w:num w:numId="12">
    <w:abstractNumId w:val="27"/>
  </w:num>
  <w:num w:numId="13">
    <w:abstractNumId w:val="34"/>
  </w:num>
  <w:num w:numId="14">
    <w:abstractNumId w:val="2"/>
  </w:num>
  <w:num w:numId="15">
    <w:abstractNumId w:val="42"/>
  </w:num>
  <w:num w:numId="16">
    <w:abstractNumId w:val="6"/>
  </w:num>
  <w:num w:numId="17">
    <w:abstractNumId w:val="19"/>
  </w:num>
  <w:num w:numId="18">
    <w:abstractNumId w:val="24"/>
  </w:num>
  <w:num w:numId="19">
    <w:abstractNumId w:val="13"/>
  </w:num>
  <w:num w:numId="20">
    <w:abstractNumId w:val="44"/>
  </w:num>
  <w:num w:numId="21">
    <w:abstractNumId w:val="41"/>
  </w:num>
  <w:num w:numId="22">
    <w:abstractNumId w:val="25"/>
  </w:num>
  <w:num w:numId="23">
    <w:abstractNumId w:val="45"/>
  </w:num>
  <w:num w:numId="24">
    <w:abstractNumId w:val="3"/>
  </w:num>
  <w:num w:numId="25">
    <w:abstractNumId w:val="18"/>
  </w:num>
  <w:num w:numId="26">
    <w:abstractNumId w:val="37"/>
  </w:num>
  <w:num w:numId="27">
    <w:abstractNumId w:val="12"/>
  </w:num>
  <w:num w:numId="28">
    <w:abstractNumId w:val="20"/>
  </w:num>
  <w:num w:numId="29">
    <w:abstractNumId w:val="35"/>
  </w:num>
  <w:num w:numId="30">
    <w:abstractNumId w:val="29"/>
  </w:num>
  <w:num w:numId="31">
    <w:abstractNumId w:val="1"/>
  </w:num>
  <w:num w:numId="32">
    <w:abstractNumId w:val="15"/>
  </w:num>
  <w:num w:numId="33">
    <w:abstractNumId w:val="8"/>
  </w:num>
  <w:num w:numId="34">
    <w:abstractNumId w:val="14"/>
  </w:num>
  <w:num w:numId="35">
    <w:abstractNumId w:val="31"/>
  </w:num>
  <w:num w:numId="36">
    <w:abstractNumId w:val="28"/>
  </w:num>
  <w:num w:numId="37">
    <w:abstractNumId w:val="7"/>
  </w:num>
  <w:num w:numId="38">
    <w:abstractNumId w:val="21"/>
  </w:num>
  <w:num w:numId="39">
    <w:abstractNumId w:val="10"/>
  </w:num>
  <w:num w:numId="40">
    <w:abstractNumId w:val="23"/>
  </w:num>
  <w:num w:numId="41">
    <w:abstractNumId w:val="0"/>
  </w:num>
  <w:num w:numId="42">
    <w:abstractNumId w:val="16"/>
  </w:num>
  <w:num w:numId="43">
    <w:abstractNumId w:val="30"/>
  </w:num>
  <w:num w:numId="44">
    <w:abstractNumId w:val="26"/>
  </w:num>
  <w:num w:numId="45">
    <w:abstractNumId w:val="40"/>
  </w:num>
  <w:num w:numId="46">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62C"/>
    <w:rsid w:val="0000198F"/>
    <w:rsid w:val="00002B43"/>
    <w:rsid w:val="000031CB"/>
    <w:rsid w:val="00003903"/>
    <w:rsid w:val="00006BA9"/>
    <w:rsid w:val="000107F9"/>
    <w:rsid w:val="00011376"/>
    <w:rsid w:val="00012119"/>
    <w:rsid w:val="0001277C"/>
    <w:rsid w:val="00013CF8"/>
    <w:rsid w:val="00013F41"/>
    <w:rsid w:val="000143F7"/>
    <w:rsid w:val="00030A12"/>
    <w:rsid w:val="0003116D"/>
    <w:rsid w:val="00037167"/>
    <w:rsid w:val="000426F4"/>
    <w:rsid w:val="00043D11"/>
    <w:rsid w:val="00044E39"/>
    <w:rsid w:val="0004609F"/>
    <w:rsid w:val="000514A6"/>
    <w:rsid w:val="0005361F"/>
    <w:rsid w:val="00054A20"/>
    <w:rsid w:val="000554CC"/>
    <w:rsid w:val="0006334D"/>
    <w:rsid w:val="00065A97"/>
    <w:rsid w:val="00074897"/>
    <w:rsid w:val="00077DD0"/>
    <w:rsid w:val="00081C77"/>
    <w:rsid w:val="00083269"/>
    <w:rsid w:val="00083E28"/>
    <w:rsid w:val="00086144"/>
    <w:rsid w:val="00094156"/>
    <w:rsid w:val="000A506F"/>
    <w:rsid w:val="000A6B11"/>
    <w:rsid w:val="000A7B5A"/>
    <w:rsid w:val="000B2C63"/>
    <w:rsid w:val="000B3F32"/>
    <w:rsid w:val="000B77D6"/>
    <w:rsid w:val="000C2F58"/>
    <w:rsid w:val="000C3E3B"/>
    <w:rsid w:val="000C576C"/>
    <w:rsid w:val="000C75A3"/>
    <w:rsid w:val="000D16B1"/>
    <w:rsid w:val="000F07DB"/>
    <w:rsid w:val="000F0D87"/>
    <w:rsid w:val="000F4002"/>
    <w:rsid w:val="00101318"/>
    <w:rsid w:val="001029A3"/>
    <w:rsid w:val="00104A13"/>
    <w:rsid w:val="0010694E"/>
    <w:rsid w:val="00106F6D"/>
    <w:rsid w:val="00122D11"/>
    <w:rsid w:val="00125EB4"/>
    <w:rsid w:val="001306B5"/>
    <w:rsid w:val="00131B1E"/>
    <w:rsid w:val="00131E84"/>
    <w:rsid w:val="00136C5E"/>
    <w:rsid w:val="001377B5"/>
    <w:rsid w:val="0014077B"/>
    <w:rsid w:val="00141F33"/>
    <w:rsid w:val="00145BE0"/>
    <w:rsid w:val="00152112"/>
    <w:rsid w:val="00155353"/>
    <w:rsid w:val="00163755"/>
    <w:rsid w:val="00165635"/>
    <w:rsid w:val="00165E94"/>
    <w:rsid w:val="00167287"/>
    <w:rsid w:val="001751BB"/>
    <w:rsid w:val="00177204"/>
    <w:rsid w:val="001802CD"/>
    <w:rsid w:val="001808C5"/>
    <w:rsid w:val="0019592F"/>
    <w:rsid w:val="00195952"/>
    <w:rsid w:val="001A6688"/>
    <w:rsid w:val="001B1AE9"/>
    <w:rsid w:val="001B474E"/>
    <w:rsid w:val="001C5CE5"/>
    <w:rsid w:val="001C6138"/>
    <w:rsid w:val="001D13B3"/>
    <w:rsid w:val="001D5F9C"/>
    <w:rsid w:val="001D6C79"/>
    <w:rsid w:val="001D7610"/>
    <w:rsid w:val="001D7DAF"/>
    <w:rsid w:val="001E11C4"/>
    <w:rsid w:val="001E3793"/>
    <w:rsid w:val="001E38FC"/>
    <w:rsid w:val="001E5DA7"/>
    <w:rsid w:val="001E7B64"/>
    <w:rsid w:val="001F478C"/>
    <w:rsid w:val="00200122"/>
    <w:rsid w:val="00200EA8"/>
    <w:rsid w:val="00201D3C"/>
    <w:rsid w:val="0020360F"/>
    <w:rsid w:val="00205385"/>
    <w:rsid w:val="0020538E"/>
    <w:rsid w:val="0020604E"/>
    <w:rsid w:val="00206744"/>
    <w:rsid w:val="00206E29"/>
    <w:rsid w:val="0021025D"/>
    <w:rsid w:val="002172F0"/>
    <w:rsid w:val="002204D1"/>
    <w:rsid w:val="00234F81"/>
    <w:rsid w:val="002453EE"/>
    <w:rsid w:val="0025442B"/>
    <w:rsid w:val="0025614E"/>
    <w:rsid w:val="002579EA"/>
    <w:rsid w:val="00261FF9"/>
    <w:rsid w:val="002659B4"/>
    <w:rsid w:val="00267A9B"/>
    <w:rsid w:val="002765D0"/>
    <w:rsid w:val="002767A4"/>
    <w:rsid w:val="00283FD8"/>
    <w:rsid w:val="00284837"/>
    <w:rsid w:val="00285D1D"/>
    <w:rsid w:val="00290CCB"/>
    <w:rsid w:val="00290CCE"/>
    <w:rsid w:val="00290E32"/>
    <w:rsid w:val="002919E5"/>
    <w:rsid w:val="00296C3F"/>
    <w:rsid w:val="00297EF9"/>
    <w:rsid w:val="002A1B6B"/>
    <w:rsid w:val="002A210A"/>
    <w:rsid w:val="002A318C"/>
    <w:rsid w:val="002A3BC1"/>
    <w:rsid w:val="002B0C2C"/>
    <w:rsid w:val="002B22B1"/>
    <w:rsid w:val="002B23EE"/>
    <w:rsid w:val="002B3E90"/>
    <w:rsid w:val="002B4389"/>
    <w:rsid w:val="002B5282"/>
    <w:rsid w:val="002B56FA"/>
    <w:rsid w:val="002B6800"/>
    <w:rsid w:val="002B724F"/>
    <w:rsid w:val="002B74A7"/>
    <w:rsid w:val="002C1894"/>
    <w:rsid w:val="002C2170"/>
    <w:rsid w:val="002D162D"/>
    <w:rsid w:val="002D5680"/>
    <w:rsid w:val="002D5B3D"/>
    <w:rsid w:val="002D6E41"/>
    <w:rsid w:val="002E40AE"/>
    <w:rsid w:val="002E4801"/>
    <w:rsid w:val="002E5158"/>
    <w:rsid w:val="002E55EE"/>
    <w:rsid w:val="002E5887"/>
    <w:rsid w:val="002F0642"/>
    <w:rsid w:val="002F18BC"/>
    <w:rsid w:val="002F1B79"/>
    <w:rsid w:val="002F2ED0"/>
    <w:rsid w:val="002F619D"/>
    <w:rsid w:val="00303F31"/>
    <w:rsid w:val="0031340C"/>
    <w:rsid w:val="00316E43"/>
    <w:rsid w:val="00341742"/>
    <w:rsid w:val="003456DA"/>
    <w:rsid w:val="003459C3"/>
    <w:rsid w:val="00347C7F"/>
    <w:rsid w:val="00354021"/>
    <w:rsid w:val="0035575E"/>
    <w:rsid w:val="003618DA"/>
    <w:rsid w:val="00364072"/>
    <w:rsid w:val="003660B3"/>
    <w:rsid w:val="00366EEC"/>
    <w:rsid w:val="00367EB1"/>
    <w:rsid w:val="00371503"/>
    <w:rsid w:val="0037168B"/>
    <w:rsid w:val="00372B0D"/>
    <w:rsid w:val="0037352E"/>
    <w:rsid w:val="00381A7C"/>
    <w:rsid w:val="00381C2E"/>
    <w:rsid w:val="00385390"/>
    <w:rsid w:val="003857B0"/>
    <w:rsid w:val="00387EC3"/>
    <w:rsid w:val="00392ACD"/>
    <w:rsid w:val="0039345C"/>
    <w:rsid w:val="00396C26"/>
    <w:rsid w:val="00396EAA"/>
    <w:rsid w:val="00397796"/>
    <w:rsid w:val="003A05C6"/>
    <w:rsid w:val="003A493B"/>
    <w:rsid w:val="003B7706"/>
    <w:rsid w:val="003C1A05"/>
    <w:rsid w:val="003C2AF1"/>
    <w:rsid w:val="003C4223"/>
    <w:rsid w:val="003D29BD"/>
    <w:rsid w:val="003D51A3"/>
    <w:rsid w:val="003D7A01"/>
    <w:rsid w:val="003E0171"/>
    <w:rsid w:val="003E18CE"/>
    <w:rsid w:val="003E2CFF"/>
    <w:rsid w:val="003E2F42"/>
    <w:rsid w:val="003E2FF4"/>
    <w:rsid w:val="003E47B3"/>
    <w:rsid w:val="003E4EDC"/>
    <w:rsid w:val="003E5F67"/>
    <w:rsid w:val="003F2759"/>
    <w:rsid w:val="003F2C00"/>
    <w:rsid w:val="003F547E"/>
    <w:rsid w:val="004027DF"/>
    <w:rsid w:val="00405277"/>
    <w:rsid w:val="0041032E"/>
    <w:rsid w:val="00411396"/>
    <w:rsid w:val="00417E9B"/>
    <w:rsid w:val="00424560"/>
    <w:rsid w:val="00427167"/>
    <w:rsid w:val="004279EB"/>
    <w:rsid w:val="00427FA0"/>
    <w:rsid w:val="004311C9"/>
    <w:rsid w:val="00440943"/>
    <w:rsid w:val="00441D7D"/>
    <w:rsid w:val="00442313"/>
    <w:rsid w:val="00443D94"/>
    <w:rsid w:val="00444402"/>
    <w:rsid w:val="00446862"/>
    <w:rsid w:val="004478E9"/>
    <w:rsid w:val="00456698"/>
    <w:rsid w:val="00461E51"/>
    <w:rsid w:val="004670D2"/>
    <w:rsid w:val="00470DE1"/>
    <w:rsid w:val="004720DA"/>
    <w:rsid w:val="004722A3"/>
    <w:rsid w:val="0047282E"/>
    <w:rsid w:val="00476DF7"/>
    <w:rsid w:val="00477443"/>
    <w:rsid w:val="00477F83"/>
    <w:rsid w:val="004802A6"/>
    <w:rsid w:val="004818A9"/>
    <w:rsid w:val="00483AEF"/>
    <w:rsid w:val="00492C12"/>
    <w:rsid w:val="004A272B"/>
    <w:rsid w:val="004A3CBC"/>
    <w:rsid w:val="004B21D2"/>
    <w:rsid w:val="004B43A6"/>
    <w:rsid w:val="004B685D"/>
    <w:rsid w:val="004C2A27"/>
    <w:rsid w:val="004C5B8A"/>
    <w:rsid w:val="004D423A"/>
    <w:rsid w:val="004D4550"/>
    <w:rsid w:val="004E1474"/>
    <w:rsid w:val="004E4939"/>
    <w:rsid w:val="004E55DB"/>
    <w:rsid w:val="004E59B5"/>
    <w:rsid w:val="004E6ABD"/>
    <w:rsid w:val="004F4C66"/>
    <w:rsid w:val="00501AE9"/>
    <w:rsid w:val="00502AA4"/>
    <w:rsid w:val="00504A71"/>
    <w:rsid w:val="0051082A"/>
    <w:rsid w:val="00511906"/>
    <w:rsid w:val="00515CBB"/>
    <w:rsid w:val="00521595"/>
    <w:rsid w:val="00522926"/>
    <w:rsid w:val="00524A94"/>
    <w:rsid w:val="00524E63"/>
    <w:rsid w:val="00524FD5"/>
    <w:rsid w:val="00535AFE"/>
    <w:rsid w:val="00536062"/>
    <w:rsid w:val="005376D4"/>
    <w:rsid w:val="005406CA"/>
    <w:rsid w:val="00542EC9"/>
    <w:rsid w:val="0054309B"/>
    <w:rsid w:val="00544FE8"/>
    <w:rsid w:val="00550D6C"/>
    <w:rsid w:val="0055235F"/>
    <w:rsid w:val="00553F26"/>
    <w:rsid w:val="00556BD1"/>
    <w:rsid w:val="0056178B"/>
    <w:rsid w:val="005617E3"/>
    <w:rsid w:val="00562A5A"/>
    <w:rsid w:val="00563AAF"/>
    <w:rsid w:val="00574708"/>
    <w:rsid w:val="00576D00"/>
    <w:rsid w:val="005771B5"/>
    <w:rsid w:val="00577693"/>
    <w:rsid w:val="00580BD2"/>
    <w:rsid w:val="00582427"/>
    <w:rsid w:val="00583092"/>
    <w:rsid w:val="00587C09"/>
    <w:rsid w:val="0059369E"/>
    <w:rsid w:val="005952A1"/>
    <w:rsid w:val="005A1A73"/>
    <w:rsid w:val="005A54C7"/>
    <w:rsid w:val="005A67F4"/>
    <w:rsid w:val="005B1437"/>
    <w:rsid w:val="005B15EE"/>
    <w:rsid w:val="005B1F6D"/>
    <w:rsid w:val="005C5CA3"/>
    <w:rsid w:val="005D25D8"/>
    <w:rsid w:val="005D52F7"/>
    <w:rsid w:val="005E14A4"/>
    <w:rsid w:val="005E202C"/>
    <w:rsid w:val="005E3BD4"/>
    <w:rsid w:val="005F4E4C"/>
    <w:rsid w:val="005F5DC6"/>
    <w:rsid w:val="005F651F"/>
    <w:rsid w:val="006012D8"/>
    <w:rsid w:val="006021D8"/>
    <w:rsid w:val="0060249A"/>
    <w:rsid w:val="0060525A"/>
    <w:rsid w:val="00612F90"/>
    <w:rsid w:val="00613C28"/>
    <w:rsid w:val="00614212"/>
    <w:rsid w:val="00614A37"/>
    <w:rsid w:val="00616152"/>
    <w:rsid w:val="00617067"/>
    <w:rsid w:val="0061735C"/>
    <w:rsid w:val="006233D7"/>
    <w:rsid w:val="006240B5"/>
    <w:rsid w:val="006263BA"/>
    <w:rsid w:val="00635707"/>
    <w:rsid w:val="00636D84"/>
    <w:rsid w:val="006430AB"/>
    <w:rsid w:val="00647E67"/>
    <w:rsid w:val="00650377"/>
    <w:rsid w:val="006563FD"/>
    <w:rsid w:val="0065640F"/>
    <w:rsid w:val="006603CF"/>
    <w:rsid w:val="00661010"/>
    <w:rsid w:val="006633C1"/>
    <w:rsid w:val="00671F94"/>
    <w:rsid w:val="00674004"/>
    <w:rsid w:val="00674CBB"/>
    <w:rsid w:val="00681AE3"/>
    <w:rsid w:val="00684A89"/>
    <w:rsid w:val="00685D81"/>
    <w:rsid w:val="0068619F"/>
    <w:rsid w:val="00690210"/>
    <w:rsid w:val="00690DC2"/>
    <w:rsid w:val="00696E0A"/>
    <w:rsid w:val="006A145B"/>
    <w:rsid w:val="006A29CF"/>
    <w:rsid w:val="006A38BB"/>
    <w:rsid w:val="006A5509"/>
    <w:rsid w:val="006A58F2"/>
    <w:rsid w:val="006A6094"/>
    <w:rsid w:val="006A6ABA"/>
    <w:rsid w:val="006A6BFE"/>
    <w:rsid w:val="006B4B6E"/>
    <w:rsid w:val="006B6029"/>
    <w:rsid w:val="006C198D"/>
    <w:rsid w:val="006D0F1B"/>
    <w:rsid w:val="006D2936"/>
    <w:rsid w:val="006D5795"/>
    <w:rsid w:val="006E78AB"/>
    <w:rsid w:val="006F05BB"/>
    <w:rsid w:val="006F0F97"/>
    <w:rsid w:val="006F1D50"/>
    <w:rsid w:val="006F2543"/>
    <w:rsid w:val="006F33F4"/>
    <w:rsid w:val="006F4C26"/>
    <w:rsid w:val="006F5D05"/>
    <w:rsid w:val="007039CE"/>
    <w:rsid w:val="00705125"/>
    <w:rsid w:val="00706791"/>
    <w:rsid w:val="007076C8"/>
    <w:rsid w:val="00710C0C"/>
    <w:rsid w:val="00711029"/>
    <w:rsid w:val="00713D65"/>
    <w:rsid w:val="0071474B"/>
    <w:rsid w:val="0071660D"/>
    <w:rsid w:val="007247EF"/>
    <w:rsid w:val="00724AB8"/>
    <w:rsid w:val="00727059"/>
    <w:rsid w:val="0073242F"/>
    <w:rsid w:val="00733055"/>
    <w:rsid w:val="007400C9"/>
    <w:rsid w:val="00742AB7"/>
    <w:rsid w:val="007453E5"/>
    <w:rsid w:val="00746980"/>
    <w:rsid w:val="007469B1"/>
    <w:rsid w:val="00751AFE"/>
    <w:rsid w:val="00751F23"/>
    <w:rsid w:val="0075241E"/>
    <w:rsid w:val="007577C7"/>
    <w:rsid w:val="00757EF5"/>
    <w:rsid w:val="00760ACA"/>
    <w:rsid w:val="00761E3C"/>
    <w:rsid w:val="0076242A"/>
    <w:rsid w:val="00765CD8"/>
    <w:rsid w:val="00766507"/>
    <w:rsid w:val="0076674A"/>
    <w:rsid w:val="0076744B"/>
    <w:rsid w:val="00767646"/>
    <w:rsid w:val="0077059A"/>
    <w:rsid w:val="00783DD5"/>
    <w:rsid w:val="007855D8"/>
    <w:rsid w:val="007866EF"/>
    <w:rsid w:val="00787BC1"/>
    <w:rsid w:val="00795C55"/>
    <w:rsid w:val="00796925"/>
    <w:rsid w:val="00796D3F"/>
    <w:rsid w:val="007A0308"/>
    <w:rsid w:val="007A619E"/>
    <w:rsid w:val="007A686F"/>
    <w:rsid w:val="007B1C05"/>
    <w:rsid w:val="007B23ED"/>
    <w:rsid w:val="007B340E"/>
    <w:rsid w:val="007C1FCE"/>
    <w:rsid w:val="007C5E4E"/>
    <w:rsid w:val="007D613D"/>
    <w:rsid w:val="007D73EE"/>
    <w:rsid w:val="007E0E6B"/>
    <w:rsid w:val="007E10A2"/>
    <w:rsid w:val="007E186F"/>
    <w:rsid w:val="007E7016"/>
    <w:rsid w:val="007E7BFF"/>
    <w:rsid w:val="007F3686"/>
    <w:rsid w:val="007F7DBF"/>
    <w:rsid w:val="00800B3B"/>
    <w:rsid w:val="00802672"/>
    <w:rsid w:val="00807044"/>
    <w:rsid w:val="00807D07"/>
    <w:rsid w:val="0081406C"/>
    <w:rsid w:val="00814EF8"/>
    <w:rsid w:val="00816AE7"/>
    <w:rsid w:val="00817CEC"/>
    <w:rsid w:val="0082423F"/>
    <w:rsid w:val="008274D2"/>
    <w:rsid w:val="00831F35"/>
    <w:rsid w:val="00832572"/>
    <w:rsid w:val="00832C2A"/>
    <w:rsid w:val="008341CF"/>
    <w:rsid w:val="008351C8"/>
    <w:rsid w:val="008422D1"/>
    <w:rsid w:val="008435AF"/>
    <w:rsid w:val="00844483"/>
    <w:rsid w:val="00844526"/>
    <w:rsid w:val="00845EEC"/>
    <w:rsid w:val="00846556"/>
    <w:rsid w:val="00853100"/>
    <w:rsid w:val="00861D83"/>
    <w:rsid w:val="00863E67"/>
    <w:rsid w:val="00865376"/>
    <w:rsid w:val="00866CAC"/>
    <w:rsid w:val="00877A6C"/>
    <w:rsid w:val="00892A01"/>
    <w:rsid w:val="008A0D34"/>
    <w:rsid w:val="008A1A40"/>
    <w:rsid w:val="008A2B43"/>
    <w:rsid w:val="008A3035"/>
    <w:rsid w:val="008A45E4"/>
    <w:rsid w:val="008B0AB8"/>
    <w:rsid w:val="008B593F"/>
    <w:rsid w:val="008C0E2C"/>
    <w:rsid w:val="008C2171"/>
    <w:rsid w:val="008D276B"/>
    <w:rsid w:val="008D2F52"/>
    <w:rsid w:val="008D6F53"/>
    <w:rsid w:val="008D7CB3"/>
    <w:rsid w:val="008E5E67"/>
    <w:rsid w:val="008F2363"/>
    <w:rsid w:val="008F3750"/>
    <w:rsid w:val="008F6D8A"/>
    <w:rsid w:val="009073AE"/>
    <w:rsid w:val="00907BE9"/>
    <w:rsid w:val="0091248C"/>
    <w:rsid w:val="00913C22"/>
    <w:rsid w:val="00914F5F"/>
    <w:rsid w:val="00917A50"/>
    <w:rsid w:val="00922B00"/>
    <w:rsid w:val="00924B4B"/>
    <w:rsid w:val="009322DC"/>
    <w:rsid w:val="009439BE"/>
    <w:rsid w:val="00944A38"/>
    <w:rsid w:val="009450E3"/>
    <w:rsid w:val="0095374A"/>
    <w:rsid w:val="00957260"/>
    <w:rsid w:val="00957359"/>
    <w:rsid w:val="00957C6A"/>
    <w:rsid w:val="00961E73"/>
    <w:rsid w:val="00962BFC"/>
    <w:rsid w:val="00963F09"/>
    <w:rsid w:val="00964001"/>
    <w:rsid w:val="00964810"/>
    <w:rsid w:val="009722F7"/>
    <w:rsid w:val="00972C40"/>
    <w:rsid w:val="00973302"/>
    <w:rsid w:val="00973C94"/>
    <w:rsid w:val="00977468"/>
    <w:rsid w:val="00981907"/>
    <w:rsid w:val="00981C2B"/>
    <w:rsid w:val="00982AA9"/>
    <w:rsid w:val="00984E90"/>
    <w:rsid w:val="00985731"/>
    <w:rsid w:val="00991F5A"/>
    <w:rsid w:val="00995EB0"/>
    <w:rsid w:val="009A1765"/>
    <w:rsid w:val="009A1EFC"/>
    <w:rsid w:val="009A2FDB"/>
    <w:rsid w:val="009B1B2E"/>
    <w:rsid w:val="009B3417"/>
    <w:rsid w:val="009C13FE"/>
    <w:rsid w:val="009C2E06"/>
    <w:rsid w:val="009C5D5D"/>
    <w:rsid w:val="009E09CD"/>
    <w:rsid w:val="009E29E5"/>
    <w:rsid w:val="009F0909"/>
    <w:rsid w:val="00A02604"/>
    <w:rsid w:val="00A03347"/>
    <w:rsid w:val="00A039A9"/>
    <w:rsid w:val="00A101D6"/>
    <w:rsid w:val="00A10B96"/>
    <w:rsid w:val="00A22911"/>
    <w:rsid w:val="00A242F4"/>
    <w:rsid w:val="00A2519C"/>
    <w:rsid w:val="00A3051F"/>
    <w:rsid w:val="00A324DD"/>
    <w:rsid w:val="00A33068"/>
    <w:rsid w:val="00A34EF1"/>
    <w:rsid w:val="00A369C4"/>
    <w:rsid w:val="00A37000"/>
    <w:rsid w:val="00A42C2C"/>
    <w:rsid w:val="00A438E1"/>
    <w:rsid w:val="00A44916"/>
    <w:rsid w:val="00A4493C"/>
    <w:rsid w:val="00A458E0"/>
    <w:rsid w:val="00A47206"/>
    <w:rsid w:val="00A50038"/>
    <w:rsid w:val="00A52DC3"/>
    <w:rsid w:val="00A53A5F"/>
    <w:rsid w:val="00A60067"/>
    <w:rsid w:val="00A605C5"/>
    <w:rsid w:val="00A7023F"/>
    <w:rsid w:val="00A705CF"/>
    <w:rsid w:val="00A71ADE"/>
    <w:rsid w:val="00A74551"/>
    <w:rsid w:val="00A76FD3"/>
    <w:rsid w:val="00A77BE1"/>
    <w:rsid w:val="00A800F3"/>
    <w:rsid w:val="00A815D2"/>
    <w:rsid w:val="00A823A7"/>
    <w:rsid w:val="00A85D52"/>
    <w:rsid w:val="00A928E3"/>
    <w:rsid w:val="00A92B0D"/>
    <w:rsid w:val="00A94A1F"/>
    <w:rsid w:val="00A94EF4"/>
    <w:rsid w:val="00A973E1"/>
    <w:rsid w:val="00A9759B"/>
    <w:rsid w:val="00A97C9F"/>
    <w:rsid w:val="00AA0DF0"/>
    <w:rsid w:val="00AA4613"/>
    <w:rsid w:val="00AB1BF9"/>
    <w:rsid w:val="00AB5EC2"/>
    <w:rsid w:val="00AB6D73"/>
    <w:rsid w:val="00AC46F8"/>
    <w:rsid w:val="00AC7959"/>
    <w:rsid w:val="00AD1B98"/>
    <w:rsid w:val="00AD23F8"/>
    <w:rsid w:val="00AD3396"/>
    <w:rsid w:val="00AE0B19"/>
    <w:rsid w:val="00AE0ED7"/>
    <w:rsid w:val="00AF09B9"/>
    <w:rsid w:val="00AF1C94"/>
    <w:rsid w:val="00AF2098"/>
    <w:rsid w:val="00B00942"/>
    <w:rsid w:val="00B02EE8"/>
    <w:rsid w:val="00B03A95"/>
    <w:rsid w:val="00B06D30"/>
    <w:rsid w:val="00B06FEE"/>
    <w:rsid w:val="00B07AC4"/>
    <w:rsid w:val="00B11ED8"/>
    <w:rsid w:val="00B13D4A"/>
    <w:rsid w:val="00B14F3C"/>
    <w:rsid w:val="00B17C62"/>
    <w:rsid w:val="00B2176E"/>
    <w:rsid w:val="00B24F0A"/>
    <w:rsid w:val="00B27424"/>
    <w:rsid w:val="00B30913"/>
    <w:rsid w:val="00B31F0D"/>
    <w:rsid w:val="00B32571"/>
    <w:rsid w:val="00B3562C"/>
    <w:rsid w:val="00B35B4C"/>
    <w:rsid w:val="00B401D2"/>
    <w:rsid w:val="00B40E7A"/>
    <w:rsid w:val="00B41FAB"/>
    <w:rsid w:val="00B47E83"/>
    <w:rsid w:val="00B50326"/>
    <w:rsid w:val="00B50FE4"/>
    <w:rsid w:val="00B54EC0"/>
    <w:rsid w:val="00B56B3F"/>
    <w:rsid w:val="00B63E9A"/>
    <w:rsid w:val="00B64A2A"/>
    <w:rsid w:val="00B709BC"/>
    <w:rsid w:val="00B72193"/>
    <w:rsid w:val="00B80071"/>
    <w:rsid w:val="00B83C08"/>
    <w:rsid w:val="00B869C3"/>
    <w:rsid w:val="00B87200"/>
    <w:rsid w:val="00B87D1D"/>
    <w:rsid w:val="00B903CD"/>
    <w:rsid w:val="00B90991"/>
    <w:rsid w:val="00B90D83"/>
    <w:rsid w:val="00B913C4"/>
    <w:rsid w:val="00B946FB"/>
    <w:rsid w:val="00B94E23"/>
    <w:rsid w:val="00B96329"/>
    <w:rsid w:val="00B96B57"/>
    <w:rsid w:val="00BA77BA"/>
    <w:rsid w:val="00BB00F8"/>
    <w:rsid w:val="00BB072E"/>
    <w:rsid w:val="00BB76BB"/>
    <w:rsid w:val="00BB7CE5"/>
    <w:rsid w:val="00BC2FB7"/>
    <w:rsid w:val="00BC4AFE"/>
    <w:rsid w:val="00BC5B52"/>
    <w:rsid w:val="00BD4DE6"/>
    <w:rsid w:val="00BD594E"/>
    <w:rsid w:val="00BD6487"/>
    <w:rsid w:val="00BD6C76"/>
    <w:rsid w:val="00BD6F9C"/>
    <w:rsid w:val="00BE127E"/>
    <w:rsid w:val="00BE1B31"/>
    <w:rsid w:val="00BF6BFB"/>
    <w:rsid w:val="00C004E5"/>
    <w:rsid w:val="00C0053E"/>
    <w:rsid w:val="00C020C3"/>
    <w:rsid w:val="00C06FB9"/>
    <w:rsid w:val="00C1520D"/>
    <w:rsid w:val="00C1797B"/>
    <w:rsid w:val="00C246AC"/>
    <w:rsid w:val="00C24C81"/>
    <w:rsid w:val="00C26F74"/>
    <w:rsid w:val="00C31EB1"/>
    <w:rsid w:val="00C32457"/>
    <w:rsid w:val="00C37A78"/>
    <w:rsid w:val="00C42E55"/>
    <w:rsid w:val="00C4758D"/>
    <w:rsid w:val="00C47AA4"/>
    <w:rsid w:val="00C50653"/>
    <w:rsid w:val="00C50888"/>
    <w:rsid w:val="00C53751"/>
    <w:rsid w:val="00C6640C"/>
    <w:rsid w:val="00C67199"/>
    <w:rsid w:val="00C733B4"/>
    <w:rsid w:val="00C80B18"/>
    <w:rsid w:val="00C82DD9"/>
    <w:rsid w:val="00C83CE4"/>
    <w:rsid w:val="00C86937"/>
    <w:rsid w:val="00C9421F"/>
    <w:rsid w:val="00C96BBB"/>
    <w:rsid w:val="00C96FEC"/>
    <w:rsid w:val="00CA1E7B"/>
    <w:rsid w:val="00CA239D"/>
    <w:rsid w:val="00CA4A83"/>
    <w:rsid w:val="00CB3202"/>
    <w:rsid w:val="00CB4683"/>
    <w:rsid w:val="00CB769D"/>
    <w:rsid w:val="00CC1D18"/>
    <w:rsid w:val="00CC1EE9"/>
    <w:rsid w:val="00CC5A36"/>
    <w:rsid w:val="00CC60EB"/>
    <w:rsid w:val="00CD09A5"/>
    <w:rsid w:val="00CD1B66"/>
    <w:rsid w:val="00CD29B0"/>
    <w:rsid w:val="00CE3474"/>
    <w:rsid w:val="00CF5422"/>
    <w:rsid w:val="00D02A0C"/>
    <w:rsid w:val="00D03846"/>
    <w:rsid w:val="00D05BB1"/>
    <w:rsid w:val="00D07063"/>
    <w:rsid w:val="00D127B2"/>
    <w:rsid w:val="00D13C30"/>
    <w:rsid w:val="00D14FF1"/>
    <w:rsid w:val="00D155B1"/>
    <w:rsid w:val="00D242F5"/>
    <w:rsid w:val="00D3006F"/>
    <w:rsid w:val="00D31809"/>
    <w:rsid w:val="00D32673"/>
    <w:rsid w:val="00D349D0"/>
    <w:rsid w:val="00D3543D"/>
    <w:rsid w:val="00D35B5A"/>
    <w:rsid w:val="00D36D87"/>
    <w:rsid w:val="00D479AE"/>
    <w:rsid w:val="00D50637"/>
    <w:rsid w:val="00D50728"/>
    <w:rsid w:val="00D5222A"/>
    <w:rsid w:val="00D52395"/>
    <w:rsid w:val="00D524EE"/>
    <w:rsid w:val="00D52A7F"/>
    <w:rsid w:val="00D56003"/>
    <w:rsid w:val="00D56A90"/>
    <w:rsid w:val="00D63D83"/>
    <w:rsid w:val="00D659C9"/>
    <w:rsid w:val="00D66736"/>
    <w:rsid w:val="00D67163"/>
    <w:rsid w:val="00D73719"/>
    <w:rsid w:val="00D73896"/>
    <w:rsid w:val="00D8494A"/>
    <w:rsid w:val="00D84EA3"/>
    <w:rsid w:val="00D96EA2"/>
    <w:rsid w:val="00DA1C23"/>
    <w:rsid w:val="00DA4199"/>
    <w:rsid w:val="00DB70EC"/>
    <w:rsid w:val="00DB79DE"/>
    <w:rsid w:val="00DC28E4"/>
    <w:rsid w:val="00DC7477"/>
    <w:rsid w:val="00DD104D"/>
    <w:rsid w:val="00DD2115"/>
    <w:rsid w:val="00DD37DF"/>
    <w:rsid w:val="00DD4FC0"/>
    <w:rsid w:val="00DD7BAA"/>
    <w:rsid w:val="00DE11C8"/>
    <w:rsid w:val="00DE27D6"/>
    <w:rsid w:val="00DE3B77"/>
    <w:rsid w:val="00DF12B6"/>
    <w:rsid w:val="00E01372"/>
    <w:rsid w:val="00E04B17"/>
    <w:rsid w:val="00E0574A"/>
    <w:rsid w:val="00E05839"/>
    <w:rsid w:val="00E11565"/>
    <w:rsid w:val="00E11D9A"/>
    <w:rsid w:val="00E13942"/>
    <w:rsid w:val="00E13D63"/>
    <w:rsid w:val="00E1601A"/>
    <w:rsid w:val="00E209AD"/>
    <w:rsid w:val="00E27F0C"/>
    <w:rsid w:val="00E41513"/>
    <w:rsid w:val="00E4493C"/>
    <w:rsid w:val="00E46596"/>
    <w:rsid w:val="00E511ED"/>
    <w:rsid w:val="00E5505B"/>
    <w:rsid w:val="00E554A3"/>
    <w:rsid w:val="00E55A1C"/>
    <w:rsid w:val="00E56A11"/>
    <w:rsid w:val="00E5718F"/>
    <w:rsid w:val="00E713ED"/>
    <w:rsid w:val="00E74157"/>
    <w:rsid w:val="00E77CBD"/>
    <w:rsid w:val="00E823E6"/>
    <w:rsid w:val="00E86C66"/>
    <w:rsid w:val="00E87977"/>
    <w:rsid w:val="00E91C47"/>
    <w:rsid w:val="00E93AFC"/>
    <w:rsid w:val="00EA07EB"/>
    <w:rsid w:val="00EA2661"/>
    <w:rsid w:val="00EA2AFA"/>
    <w:rsid w:val="00EA2EC2"/>
    <w:rsid w:val="00EA4EF1"/>
    <w:rsid w:val="00EA70D0"/>
    <w:rsid w:val="00EB225B"/>
    <w:rsid w:val="00EB6443"/>
    <w:rsid w:val="00EC0965"/>
    <w:rsid w:val="00EC0EED"/>
    <w:rsid w:val="00EC6D2D"/>
    <w:rsid w:val="00EC77A5"/>
    <w:rsid w:val="00ED19CF"/>
    <w:rsid w:val="00ED2F09"/>
    <w:rsid w:val="00ED5E5A"/>
    <w:rsid w:val="00ED7B03"/>
    <w:rsid w:val="00EE0971"/>
    <w:rsid w:val="00EF3C05"/>
    <w:rsid w:val="00EF6BA5"/>
    <w:rsid w:val="00F00E46"/>
    <w:rsid w:val="00F00F28"/>
    <w:rsid w:val="00F012A3"/>
    <w:rsid w:val="00F04283"/>
    <w:rsid w:val="00F149A4"/>
    <w:rsid w:val="00F264D7"/>
    <w:rsid w:val="00F369EC"/>
    <w:rsid w:val="00F40101"/>
    <w:rsid w:val="00F40A9B"/>
    <w:rsid w:val="00F417D9"/>
    <w:rsid w:val="00F43A12"/>
    <w:rsid w:val="00F44AB5"/>
    <w:rsid w:val="00F50D06"/>
    <w:rsid w:val="00F53514"/>
    <w:rsid w:val="00F538BB"/>
    <w:rsid w:val="00F5644C"/>
    <w:rsid w:val="00F57515"/>
    <w:rsid w:val="00F6097C"/>
    <w:rsid w:val="00F60C74"/>
    <w:rsid w:val="00F614FB"/>
    <w:rsid w:val="00F62D77"/>
    <w:rsid w:val="00F6392A"/>
    <w:rsid w:val="00F715CD"/>
    <w:rsid w:val="00F725BF"/>
    <w:rsid w:val="00F73E49"/>
    <w:rsid w:val="00F758AD"/>
    <w:rsid w:val="00F804A3"/>
    <w:rsid w:val="00F81A29"/>
    <w:rsid w:val="00F836A2"/>
    <w:rsid w:val="00F86E94"/>
    <w:rsid w:val="00F87CF3"/>
    <w:rsid w:val="00F92B59"/>
    <w:rsid w:val="00F975F3"/>
    <w:rsid w:val="00F97A99"/>
    <w:rsid w:val="00F97F30"/>
    <w:rsid w:val="00FA18DA"/>
    <w:rsid w:val="00FA246A"/>
    <w:rsid w:val="00FA3A36"/>
    <w:rsid w:val="00FB0156"/>
    <w:rsid w:val="00FB1780"/>
    <w:rsid w:val="00FB182D"/>
    <w:rsid w:val="00FC2F23"/>
    <w:rsid w:val="00FD56C4"/>
    <w:rsid w:val="00FD6991"/>
    <w:rsid w:val="00FF0468"/>
    <w:rsid w:val="00FF13A5"/>
    <w:rsid w:val="00FF2A4D"/>
    <w:rsid w:val="10E69FEA"/>
    <w:rsid w:val="14679193"/>
    <w:rsid w:val="14D42FED"/>
    <w:rsid w:val="20A7C0DE"/>
    <w:rsid w:val="2A926B23"/>
    <w:rsid w:val="3420250C"/>
    <w:rsid w:val="347137AD"/>
    <w:rsid w:val="34DA05C4"/>
    <w:rsid w:val="38F3962F"/>
    <w:rsid w:val="3A539BEF"/>
    <w:rsid w:val="3B5889E1"/>
    <w:rsid w:val="4BA8C2B7"/>
    <w:rsid w:val="4D449318"/>
    <w:rsid w:val="4EA48DD5"/>
    <w:rsid w:val="4F86DD50"/>
    <w:rsid w:val="6B533FA3"/>
    <w:rsid w:val="6C6454FE"/>
    <w:rsid w:val="6F2FC2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6043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62C"/>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580BD2"/>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4C5B8A"/>
    <w:pPr>
      <w:keepNext/>
      <w:keepLines/>
      <w:spacing w:before="280" w:after="2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2112"/>
    <w:pPr>
      <w:keepNext/>
      <w:keepLines/>
      <w:spacing w:before="40" w:after="0"/>
      <w:outlineLvl w:val="2"/>
    </w:pPr>
    <w:rPr>
      <w:rFonts w:eastAsiaTheme="majorEastAsia" w:cstheme="majorBidi"/>
      <w:color w:val="44546A" w:themeColor="text2"/>
      <w:sz w:val="24"/>
      <w:szCs w:val="24"/>
    </w:rPr>
  </w:style>
  <w:style w:type="paragraph" w:styleId="Heading4">
    <w:name w:val="heading 4"/>
    <w:basedOn w:val="Normal"/>
    <w:next w:val="Normal"/>
    <w:link w:val="Heading4Char"/>
    <w:uiPriority w:val="9"/>
    <w:unhideWhenUsed/>
    <w:qFormat/>
    <w:rsid w:val="005E3BD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13C3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BD2"/>
    <w:rPr>
      <w:rFonts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4C5B8A"/>
    <w:rPr>
      <w:rFonts w:eastAsiaTheme="majorEastAsia" w:cstheme="majorBidi"/>
      <w:color w:val="2F5496" w:themeColor="accent1" w:themeShade="BF"/>
      <w:sz w:val="26"/>
      <w:szCs w:val="26"/>
    </w:rPr>
  </w:style>
  <w:style w:type="character" w:customStyle="1" w:styleId="Heading3Char">
    <w:name w:val="Heading 3 Char"/>
    <w:basedOn w:val="DefaultParagraphFont"/>
    <w:link w:val="Heading3"/>
    <w:uiPriority w:val="9"/>
    <w:rsid w:val="00152112"/>
    <w:rPr>
      <w:rFonts w:eastAsiaTheme="majorEastAsia" w:cstheme="majorBidi"/>
      <w:color w:val="44546A" w:themeColor="text2"/>
      <w:sz w:val="24"/>
      <w:szCs w:val="24"/>
    </w:rPr>
  </w:style>
  <w:style w:type="character" w:customStyle="1" w:styleId="Heading4Char">
    <w:name w:val="Heading 4 Char"/>
    <w:basedOn w:val="DefaultParagraphFont"/>
    <w:link w:val="Heading4"/>
    <w:uiPriority w:val="9"/>
    <w:rsid w:val="005E3BD4"/>
    <w:rPr>
      <w:rFonts w:asciiTheme="majorHAnsi" w:eastAsiaTheme="majorEastAsia" w:hAnsiTheme="majorHAnsi" w:cstheme="majorBidi"/>
      <w:i/>
      <w:iCs/>
      <w:color w:val="2F5496" w:themeColor="accent1" w:themeShade="BF"/>
      <w:sz w:val="20"/>
      <w:szCs w:val="20"/>
    </w:rPr>
  </w:style>
  <w:style w:type="paragraph" w:styleId="ListParagraph">
    <w:name w:val="List Paragraph"/>
    <w:basedOn w:val="Normal"/>
    <w:link w:val="ListParagraphChar"/>
    <w:uiPriority w:val="34"/>
    <w:qFormat/>
    <w:rsid w:val="00B3562C"/>
    <w:pPr>
      <w:ind w:left="720"/>
      <w:contextualSpacing/>
    </w:pPr>
  </w:style>
  <w:style w:type="paragraph" w:styleId="NormalWeb">
    <w:name w:val="Normal (Web)"/>
    <w:basedOn w:val="Normal"/>
    <w:uiPriority w:val="99"/>
    <w:unhideWhenUsed/>
    <w:rsid w:val="00B356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B3562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B3562C"/>
    <w:rPr>
      <w:rFonts w:asciiTheme="majorHAnsi" w:eastAsiaTheme="majorEastAsia" w:hAnsiTheme="majorHAnsi" w:cstheme="majorBidi"/>
      <w:color w:val="4472C4" w:themeColor="accent1"/>
      <w:spacing w:val="-10"/>
      <w:sz w:val="56"/>
      <w:szCs w:val="56"/>
    </w:rPr>
  </w:style>
  <w:style w:type="paragraph" w:styleId="TOCHeading">
    <w:name w:val="TOC Heading"/>
    <w:basedOn w:val="Heading1"/>
    <w:next w:val="Normal"/>
    <w:uiPriority w:val="39"/>
    <w:unhideWhenUsed/>
    <w:qFormat/>
    <w:rsid w:val="00B3562C"/>
    <w:pPr>
      <w:spacing w:before="320" w:line="240" w:lineRule="auto"/>
      <w:outlineLvl w:val="9"/>
    </w:pPr>
  </w:style>
  <w:style w:type="paragraph" w:styleId="Subtitle">
    <w:name w:val="Subtitle"/>
    <w:basedOn w:val="Normal"/>
    <w:next w:val="Normal"/>
    <w:link w:val="SubtitleChar"/>
    <w:uiPriority w:val="11"/>
    <w:qFormat/>
    <w:rsid w:val="00B3562C"/>
    <w:pPr>
      <w:numPr>
        <w:ilvl w:val="1"/>
      </w:numPr>
      <w:spacing w:line="240" w:lineRule="auto"/>
    </w:pPr>
    <w:rPr>
      <w:rFonts w:asciiTheme="majorHAnsi" w:eastAsiaTheme="majorEastAsia" w:hAnsiTheme="majorHAnsi" w:cstheme="majorBidi"/>
      <w:sz w:val="32"/>
      <w:szCs w:val="24"/>
    </w:rPr>
  </w:style>
  <w:style w:type="character" w:customStyle="1" w:styleId="SubtitleChar">
    <w:name w:val="Subtitle Char"/>
    <w:basedOn w:val="DefaultParagraphFont"/>
    <w:link w:val="Subtitle"/>
    <w:uiPriority w:val="11"/>
    <w:rsid w:val="00B3562C"/>
    <w:rPr>
      <w:rFonts w:asciiTheme="majorHAnsi" w:eastAsiaTheme="majorEastAsia" w:hAnsiTheme="majorHAnsi" w:cstheme="majorBidi"/>
      <w:sz w:val="32"/>
      <w:szCs w:val="24"/>
    </w:rPr>
  </w:style>
  <w:style w:type="character" w:styleId="SubtleEmphasis">
    <w:name w:val="Subtle Emphasis"/>
    <w:basedOn w:val="DefaultParagraphFont"/>
    <w:uiPriority w:val="19"/>
    <w:qFormat/>
    <w:rsid w:val="00B3562C"/>
    <w:rPr>
      <w:i/>
      <w:iCs/>
      <w:color w:val="404040" w:themeColor="text1" w:themeTint="BF"/>
    </w:rPr>
  </w:style>
  <w:style w:type="paragraph" w:styleId="TOC1">
    <w:name w:val="toc 1"/>
    <w:basedOn w:val="Normal"/>
    <w:next w:val="Normal"/>
    <w:autoRedefine/>
    <w:uiPriority w:val="39"/>
    <w:unhideWhenUsed/>
    <w:rsid w:val="00FA18DA"/>
    <w:pPr>
      <w:tabs>
        <w:tab w:val="right" w:leader="dot" w:pos="9016"/>
      </w:tabs>
      <w:spacing w:after="100" w:line="259" w:lineRule="auto"/>
    </w:pPr>
    <w:rPr>
      <w:rFonts w:cs="Times New Roman"/>
      <w:noProof/>
      <w:lang w:val="en-US"/>
    </w:rPr>
  </w:style>
  <w:style w:type="character" w:customStyle="1" w:styleId="Heading3Char1">
    <w:name w:val="Heading 3 Char1"/>
    <w:basedOn w:val="DefaultParagraphFont"/>
    <w:uiPriority w:val="9"/>
    <w:semiHidden/>
    <w:rsid w:val="00B3562C"/>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FF13A5"/>
    <w:pPr>
      <w:tabs>
        <w:tab w:val="right" w:leader="dot" w:pos="9016"/>
      </w:tabs>
      <w:spacing w:after="100" w:line="200" w:lineRule="exact"/>
    </w:pPr>
    <w:rPr>
      <w:noProof/>
      <w:sz w:val="24"/>
      <w:szCs w:val="24"/>
      <w:lang w:eastAsia="en-GB"/>
    </w:rPr>
  </w:style>
  <w:style w:type="character" w:styleId="Hyperlink">
    <w:name w:val="Hyperlink"/>
    <w:basedOn w:val="DefaultParagraphFont"/>
    <w:uiPriority w:val="99"/>
    <w:unhideWhenUsed/>
    <w:rsid w:val="00B3562C"/>
    <w:rPr>
      <w:color w:val="0563C1" w:themeColor="hyperlink"/>
      <w:u w:val="single"/>
    </w:rPr>
  </w:style>
  <w:style w:type="paragraph" w:styleId="Header">
    <w:name w:val="header"/>
    <w:basedOn w:val="Normal"/>
    <w:link w:val="HeaderChar"/>
    <w:uiPriority w:val="99"/>
    <w:unhideWhenUsed/>
    <w:rsid w:val="002D5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B3D"/>
    <w:rPr>
      <w:rFonts w:eastAsiaTheme="minorEastAsia"/>
      <w:sz w:val="20"/>
      <w:szCs w:val="20"/>
    </w:rPr>
  </w:style>
  <w:style w:type="paragraph" w:styleId="Footer">
    <w:name w:val="footer"/>
    <w:basedOn w:val="Normal"/>
    <w:link w:val="FooterChar"/>
    <w:uiPriority w:val="99"/>
    <w:unhideWhenUsed/>
    <w:rsid w:val="002D5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B3D"/>
    <w:rPr>
      <w:rFonts w:eastAsiaTheme="minorEastAsia"/>
      <w:sz w:val="20"/>
      <w:szCs w:val="20"/>
    </w:rPr>
  </w:style>
  <w:style w:type="character" w:styleId="CommentReference">
    <w:name w:val="annotation reference"/>
    <w:basedOn w:val="DefaultParagraphFont"/>
    <w:uiPriority w:val="99"/>
    <w:semiHidden/>
    <w:unhideWhenUsed/>
    <w:rsid w:val="00A52DC3"/>
    <w:rPr>
      <w:sz w:val="16"/>
      <w:szCs w:val="16"/>
    </w:rPr>
  </w:style>
  <w:style w:type="paragraph" w:styleId="CommentText">
    <w:name w:val="annotation text"/>
    <w:basedOn w:val="Normal"/>
    <w:link w:val="CommentTextChar"/>
    <w:uiPriority w:val="99"/>
    <w:semiHidden/>
    <w:unhideWhenUsed/>
    <w:rsid w:val="00A52DC3"/>
    <w:pPr>
      <w:spacing w:line="240" w:lineRule="auto"/>
    </w:pPr>
  </w:style>
  <w:style w:type="character" w:customStyle="1" w:styleId="CommentTextChar">
    <w:name w:val="Comment Text Char"/>
    <w:basedOn w:val="DefaultParagraphFont"/>
    <w:link w:val="CommentText"/>
    <w:uiPriority w:val="99"/>
    <w:semiHidden/>
    <w:rsid w:val="00A52DC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52DC3"/>
    <w:rPr>
      <w:b/>
      <w:bCs/>
    </w:rPr>
  </w:style>
  <w:style w:type="character" w:customStyle="1" w:styleId="CommentSubjectChar">
    <w:name w:val="Comment Subject Char"/>
    <w:basedOn w:val="CommentTextChar"/>
    <w:link w:val="CommentSubject"/>
    <w:uiPriority w:val="99"/>
    <w:semiHidden/>
    <w:rsid w:val="00A52DC3"/>
    <w:rPr>
      <w:rFonts w:eastAsiaTheme="minorEastAsia"/>
      <w:b/>
      <w:bCs/>
      <w:sz w:val="20"/>
      <w:szCs w:val="20"/>
    </w:rPr>
  </w:style>
  <w:style w:type="paragraph" w:styleId="BalloonText">
    <w:name w:val="Balloon Text"/>
    <w:basedOn w:val="Normal"/>
    <w:link w:val="BalloonTextChar"/>
    <w:uiPriority w:val="99"/>
    <w:semiHidden/>
    <w:unhideWhenUsed/>
    <w:rsid w:val="00A52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DC3"/>
    <w:rPr>
      <w:rFonts w:ascii="Segoe UI" w:eastAsiaTheme="minorEastAsia" w:hAnsi="Segoe UI" w:cs="Segoe UI"/>
      <w:sz w:val="18"/>
      <w:szCs w:val="18"/>
    </w:rPr>
  </w:style>
  <w:style w:type="paragraph" w:customStyle="1" w:styleId="Numberedparagraph">
    <w:name w:val="Numbered paragraph"/>
    <w:basedOn w:val="Normal"/>
    <w:rsid w:val="00B2176E"/>
    <w:pPr>
      <w:numPr>
        <w:numId w:val="7"/>
      </w:numPr>
      <w:tabs>
        <w:tab w:val="clear" w:pos="2411"/>
        <w:tab w:val="num" w:pos="567"/>
      </w:tabs>
      <w:spacing w:after="240" w:line="240" w:lineRule="auto"/>
      <w:ind w:left="567" w:hanging="567"/>
    </w:pPr>
    <w:rPr>
      <w:rFonts w:ascii="Tahoma" w:eastAsia="Times New Roman" w:hAnsi="Tahoma" w:cs="Times New Roman"/>
      <w:color w:val="000000"/>
      <w:sz w:val="24"/>
      <w:szCs w:val="24"/>
    </w:rPr>
  </w:style>
  <w:style w:type="paragraph" w:styleId="FootnoteText">
    <w:name w:val="footnote text"/>
    <w:basedOn w:val="Normal"/>
    <w:link w:val="FootnoteTextChar"/>
    <w:uiPriority w:val="99"/>
    <w:semiHidden/>
    <w:unhideWhenUsed/>
    <w:rsid w:val="00B2176E"/>
    <w:pPr>
      <w:spacing w:after="0" w:line="240" w:lineRule="auto"/>
    </w:pPr>
  </w:style>
  <w:style w:type="character" w:customStyle="1" w:styleId="FootnoteTextChar">
    <w:name w:val="Footnote Text Char"/>
    <w:basedOn w:val="DefaultParagraphFont"/>
    <w:link w:val="FootnoteText"/>
    <w:uiPriority w:val="99"/>
    <w:semiHidden/>
    <w:rsid w:val="00B2176E"/>
    <w:rPr>
      <w:rFonts w:eastAsiaTheme="minorEastAsia"/>
      <w:sz w:val="20"/>
      <w:szCs w:val="20"/>
    </w:rPr>
  </w:style>
  <w:style w:type="character" w:styleId="FootnoteReference">
    <w:name w:val="footnote reference"/>
    <w:basedOn w:val="DefaultParagraphFont"/>
    <w:uiPriority w:val="99"/>
    <w:semiHidden/>
    <w:unhideWhenUsed/>
    <w:rsid w:val="00B2176E"/>
    <w:rPr>
      <w:vertAlign w:val="superscript"/>
    </w:rPr>
  </w:style>
  <w:style w:type="paragraph" w:customStyle="1" w:styleId="Default">
    <w:name w:val="Default"/>
    <w:rsid w:val="00A973E1"/>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E3BD4"/>
    <w:pPr>
      <w:spacing w:after="0" w:line="240" w:lineRule="auto"/>
    </w:pPr>
    <w:rPr>
      <w:rFonts w:eastAsiaTheme="minorEastAsia"/>
      <w:sz w:val="20"/>
      <w:szCs w:val="20"/>
    </w:rPr>
  </w:style>
  <w:style w:type="character" w:styleId="Emphasis">
    <w:name w:val="Emphasis"/>
    <w:basedOn w:val="DefaultParagraphFont"/>
    <w:uiPriority w:val="20"/>
    <w:qFormat/>
    <w:rsid w:val="00796D3F"/>
    <w:rPr>
      <w:i/>
      <w:iCs/>
    </w:rPr>
  </w:style>
  <w:style w:type="character" w:styleId="IntenseEmphasis">
    <w:name w:val="Intense Emphasis"/>
    <w:basedOn w:val="DefaultParagraphFont"/>
    <w:uiPriority w:val="21"/>
    <w:qFormat/>
    <w:rsid w:val="00796D3F"/>
    <w:rPr>
      <w:i/>
      <w:iCs/>
      <w:color w:val="4472C4" w:themeColor="accent1"/>
    </w:rPr>
  </w:style>
  <w:style w:type="character" w:styleId="Strong">
    <w:name w:val="Strong"/>
    <w:basedOn w:val="DefaultParagraphFont"/>
    <w:uiPriority w:val="22"/>
    <w:qFormat/>
    <w:rsid w:val="00AB6D73"/>
    <w:rPr>
      <w:b/>
      <w:bCs/>
    </w:rPr>
  </w:style>
  <w:style w:type="table" w:styleId="GridTable4-Accent6">
    <w:name w:val="Grid Table 4 Accent 6"/>
    <w:basedOn w:val="TableNormal"/>
    <w:uiPriority w:val="49"/>
    <w:rsid w:val="0034174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3">
    <w:name w:val="toc 3"/>
    <w:basedOn w:val="Normal"/>
    <w:next w:val="Normal"/>
    <w:autoRedefine/>
    <w:uiPriority w:val="39"/>
    <w:unhideWhenUsed/>
    <w:rsid w:val="00EA70D0"/>
    <w:pPr>
      <w:spacing w:after="100" w:line="259" w:lineRule="auto"/>
      <w:ind w:left="440"/>
    </w:pPr>
    <w:rPr>
      <w:rFonts w:cs="Times New Roman"/>
      <w:sz w:val="22"/>
      <w:szCs w:val="22"/>
      <w:lang w:val="en-US"/>
    </w:rPr>
  </w:style>
  <w:style w:type="character" w:styleId="UnresolvedMention">
    <w:name w:val="Unresolved Mention"/>
    <w:basedOn w:val="DefaultParagraphFont"/>
    <w:uiPriority w:val="99"/>
    <w:semiHidden/>
    <w:unhideWhenUsed/>
    <w:rsid w:val="004A272B"/>
    <w:rPr>
      <w:color w:val="808080"/>
      <w:shd w:val="clear" w:color="auto" w:fill="E6E6E6"/>
    </w:rPr>
  </w:style>
  <w:style w:type="table" w:styleId="TableGrid">
    <w:name w:val="Table Grid"/>
    <w:basedOn w:val="TableNormal"/>
    <w:uiPriority w:val="39"/>
    <w:rsid w:val="00713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354021"/>
    <w:rPr>
      <w:i w:val="0"/>
      <w:iCs w:val="0"/>
      <w:color w:val="006D21"/>
    </w:rPr>
  </w:style>
  <w:style w:type="paragraph" w:customStyle="1" w:styleId="default0">
    <w:name w:val="default"/>
    <w:basedOn w:val="Normal"/>
    <w:rsid w:val="00476DF7"/>
    <w:pPr>
      <w:autoSpaceDE w:val="0"/>
      <w:autoSpaceDN w:val="0"/>
      <w:spacing w:after="0" w:line="240" w:lineRule="auto"/>
    </w:pPr>
    <w:rPr>
      <w:rFonts w:ascii="Arial" w:eastAsiaTheme="minorHAnsi" w:hAnsi="Arial" w:cs="Arial"/>
      <w:color w:val="000000"/>
      <w:sz w:val="24"/>
      <w:szCs w:val="24"/>
      <w:lang w:eastAsia="en-GB"/>
    </w:rPr>
  </w:style>
  <w:style w:type="character" w:customStyle="1" w:styleId="Heading5Char">
    <w:name w:val="Heading 5 Char"/>
    <w:basedOn w:val="DefaultParagraphFont"/>
    <w:link w:val="Heading5"/>
    <w:uiPriority w:val="9"/>
    <w:rsid w:val="00D13C30"/>
    <w:rPr>
      <w:rFonts w:asciiTheme="majorHAnsi" w:eastAsiaTheme="majorEastAsia" w:hAnsiTheme="majorHAnsi" w:cstheme="majorBidi"/>
      <w:color w:val="2F5496" w:themeColor="accent1" w:themeShade="BF"/>
      <w:sz w:val="20"/>
      <w:szCs w:val="20"/>
    </w:rPr>
  </w:style>
  <w:style w:type="paragraph" w:styleId="BodyText">
    <w:name w:val="Body Text"/>
    <w:basedOn w:val="Normal"/>
    <w:link w:val="BodyTextChar"/>
    <w:uiPriority w:val="1"/>
    <w:qFormat/>
    <w:rsid w:val="00D13C30"/>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D13C30"/>
    <w:rPr>
      <w:rFonts w:ascii="Arial" w:eastAsia="Arial" w:hAnsi="Arial" w:cs="Arial"/>
      <w:sz w:val="24"/>
      <w:szCs w:val="24"/>
      <w:lang w:eastAsia="en-GB" w:bidi="en-GB"/>
    </w:rPr>
  </w:style>
  <w:style w:type="character" w:customStyle="1" w:styleId="ListParagraphChar">
    <w:name w:val="List Paragraph Char"/>
    <w:link w:val="ListParagraph"/>
    <w:uiPriority w:val="1"/>
    <w:rsid w:val="00D13C30"/>
    <w:rPr>
      <w:rFonts w:eastAsiaTheme="minorEastAsia"/>
      <w:sz w:val="20"/>
      <w:szCs w:val="20"/>
    </w:rPr>
  </w:style>
  <w:style w:type="paragraph" w:styleId="Revision">
    <w:name w:val="Revision"/>
    <w:hidden/>
    <w:uiPriority w:val="99"/>
    <w:semiHidden/>
    <w:rsid w:val="004722A3"/>
    <w:pPr>
      <w:spacing w:after="0" w:line="240" w:lineRule="auto"/>
    </w:pPr>
    <w:rPr>
      <w:rFonts w:eastAsiaTheme="minorEastAsia"/>
      <w:sz w:val="20"/>
      <w:szCs w:val="20"/>
    </w:rPr>
  </w:style>
  <w:style w:type="character" w:customStyle="1" w:styleId="govuk-headerlogotype-text">
    <w:name w:val="govuk-header__logotype-text"/>
    <w:basedOn w:val="DefaultParagraphFont"/>
    <w:rsid w:val="00524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49780">
      <w:bodyDiv w:val="1"/>
      <w:marLeft w:val="0"/>
      <w:marRight w:val="0"/>
      <w:marTop w:val="0"/>
      <w:marBottom w:val="0"/>
      <w:divBdr>
        <w:top w:val="none" w:sz="0" w:space="0" w:color="auto"/>
        <w:left w:val="none" w:sz="0" w:space="0" w:color="auto"/>
        <w:bottom w:val="none" w:sz="0" w:space="0" w:color="auto"/>
        <w:right w:val="none" w:sz="0" w:space="0" w:color="auto"/>
      </w:divBdr>
    </w:div>
    <w:div w:id="169030748">
      <w:bodyDiv w:val="1"/>
      <w:marLeft w:val="0"/>
      <w:marRight w:val="0"/>
      <w:marTop w:val="0"/>
      <w:marBottom w:val="0"/>
      <w:divBdr>
        <w:top w:val="none" w:sz="0" w:space="0" w:color="auto"/>
        <w:left w:val="none" w:sz="0" w:space="0" w:color="auto"/>
        <w:bottom w:val="none" w:sz="0" w:space="0" w:color="auto"/>
        <w:right w:val="none" w:sz="0" w:space="0" w:color="auto"/>
      </w:divBdr>
    </w:div>
    <w:div w:id="248588613">
      <w:bodyDiv w:val="1"/>
      <w:marLeft w:val="0"/>
      <w:marRight w:val="0"/>
      <w:marTop w:val="2685"/>
      <w:marBottom w:val="0"/>
      <w:divBdr>
        <w:top w:val="none" w:sz="0" w:space="0" w:color="auto"/>
        <w:left w:val="none" w:sz="0" w:space="0" w:color="auto"/>
        <w:bottom w:val="none" w:sz="0" w:space="0" w:color="auto"/>
        <w:right w:val="none" w:sz="0" w:space="0" w:color="auto"/>
      </w:divBdr>
      <w:divsChild>
        <w:div w:id="588319398">
          <w:marLeft w:val="0"/>
          <w:marRight w:val="0"/>
          <w:marTop w:val="0"/>
          <w:marBottom w:val="0"/>
          <w:divBdr>
            <w:top w:val="none" w:sz="0" w:space="0" w:color="auto"/>
            <w:left w:val="none" w:sz="0" w:space="0" w:color="auto"/>
            <w:bottom w:val="none" w:sz="0" w:space="0" w:color="auto"/>
            <w:right w:val="none" w:sz="0" w:space="0" w:color="auto"/>
          </w:divBdr>
          <w:divsChild>
            <w:div w:id="1784031029">
              <w:marLeft w:val="0"/>
              <w:marRight w:val="0"/>
              <w:marTop w:val="300"/>
              <w:marBottom w:val="0"/>
              <w:divBdr>
                <w:top w:val="none" w:sz="0" w:space="0" w:color="auto"/>
                <w:left w:val="none" w:sz="0" w:space="0" w:color="auto"/>
                <w:bottom w:val="none" w:sz="0" w:space="0" w:color="auto"/>
                <w:right w:val="none" w:sz="0" w:space="0" w:color="auto"/>
              </w:divBdr>
              <w:divsChild>
                <w:div w:id="4802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4031">
      <w:bodyDiv w:val="1"/>
      <w:marLeft w:val="0"/>
      <w:marRight w:val="0"/>
      <w:marTop w:val="0"/>
      <w:marBottom w:val="0"/>
      <w:divBdr>
        <w:top w:val="none" w:sz="0" w:space="0" w:color="auto"/>
        <w:left w:val="none" w:sz="0" w:space="0" w:color="auto"/>
        <w:bottom w:val="none" w:sz="0" w:space="0" w:color="auto"/>
        <w:right w:val="none" w:sz="0" w:space="0" w:color="auto"/>
      </w:divBdr>
    </w:div>
    <w:div w:id="307588117">
      <w:bodyDiv w:val="1"/>
      <w:marLeft w:val="0"/>
      <w:marRight w:val="0"/>
      <w:marTop w:val="0"/>
      <w:marBottom w:val="0"/>
      <w:divBdr>
        <w:top w:val="none" w:sz="0" w:space="0" w:color="auto"/>
        <w:left w:val="none" w:sz="0" w:space="0" w:color="auto"/>
        <w:bottom w:val="none" w:sz="0" w:space="0" w:color="auto"/>
        <w:right w:val="none" w:sz="0" w:space="0" w:color="auto"/>
      </w:divBdr>
    </w:div>
    <w:div w:id="329480369">
      <w:bodyDiv w:val="1"/>
      <w:marLeft w:val="0"/>
      <w:marRight w:val="0"/>
      <w:marTop w:val="0"/>
      <w:marBottom w:val="0"/>
      <w:divBdr>
        <w:top w:val="none" w:sz="0" w:space="0" w:color="auto"/>
        <w:left w:val="none" w:sz="0" w:space="0" w:color="auto"/>
        <w:bottom w:val="none" w:sz="0" w:space="0" w:color="auto"/>
        <w:right w:val="none" w:sz="0" w:space="0" w:color="auto"/>
      </w:divBdr>
    </w:div>
    <w:div w:id="338626224">
      <w:bodyDiv w:val="1"/>
      <w:marLeft w:val="0"/>
      <w:marRight w:val="0"/>
      <w:marTop w:val="0"/>
      <w:marBottom w:val="0"/>
      <w:divBdr>
        <w:top w:val="none" w:sz="0" w:space="0" w:color="auto"/>
        <w:left w:val="none" w:sz="0" w:space="0" w:color="auto"/>
        <w:bottom w:val="none" w:sz="0" w:space="0" w:color="auto"/>
        <w:right w:val="none" w:sz="0" w:space="0" w:color="auto"/>
      </w:divBdr>
    </w:div>
    <w:div w:id="341901937">
      <w:bodyDiv w:val="1"/>
      <w:marLeft w:val="0"/>
      <w:marRight w:val="0"/>
      <w:marTop w:val="0"/>
      <w:marBottom w:val="0"/>
      <w:divBdr>
        <w:top w:val="none" w:sz="0" w:space="0" w:color="auto"/>
        <w:left w:val="none" w:sz="0" w:space="0" w:color="auto"/>
        <w:bottom w:val="none" w:sz="0" w:space="0" w:color="auto"/>
        <w:right w:val="none" w:sz="0" w:space="0" w:color="auto"/>
      </w:divBdr>
    </w:div>
    <w:div w:id="352271383">
      <w:bodyDiv w:val="1"/>
      <w:marLeft w:val="0"/>
      <w:marRight w:val="0"/>
      <w:marTop w:val="0"/>
      <w:marBottom w:val="0"/>
      <w:divBdr>
        <w:top w:val="none" w:sz="0" w:space="0" w:color="auto"/>
        <w:left w:val="none" w:sz="0" w:space="0" w:color="auto"/>
        <w:bottom w:val="none" w:sz="0" w:space="0" w:color="auto"/>
        <w:right w:val="none" w:sz="0" w:space="0" w:color="auto"/>
      </w:divBdr>
    </w:div>
    <w:div w:id="361636272">
      <w:bodyDiv w:val="1"/>
      <w:marLeft w:val="0"/>
      <w:marRight w:val="0"/>
      <w:marTop w:val="0"/>
      <w:marBottom w:val="0"/>
      <w:divBdr>
        <w:top w:val="none" w:sz="0" w:space="0" w:color="auto"/>
        <w:left w:val="none" w:sz="0" w:space="0" w:color="auto"/>
        <w:bottom w:val="none" w:sz="0" w:space="0" w:color="auto"/>
        <w:right w:val="none" w:sz="0" w:space="0" w:color="auto"/>
      </w:divBdr>
    </w:div>
    <w:div w:id="438256688">
      <w:bodyDiv w:val="1"/>
      <w:marLeft w:val="0"/>
      <w:marRight w:val="0"/>
      <w:marTop w:val="0"/>
      <w:marBottom w:val="0"/>
      <w:divBdr>
        <w:top w:val="none" w:sz="0" w:space="0" w:color="auto"/>
        <w:left w:val="none" w:sz="0" w:space="0" w:color="auto"/>
        <w:bottom w:val="none" w:sz="0" w:space="0" w:color="auto"/>
        <w:right w:val="none" w:sz="0" w:space="0" w:color="auto"/>
      </w:divBdr>
    </w:div>
    <w:div w:id="442963288">
      <w:bodyDiv w:val="1"/>
      <w:marLeft w:val="0"/>
      <w:marRight w:val="0"/>
      <w:marTop w:val="0"/>
      <w:marBottom w:val="0"/>
      <w:divBdr>
        <w:top w:val="none" w:sz="0" w:space="0" w:color="auto"/>
        <w:left w:val="none" w:sz="0" w:space="0" w:color="auto"/>
        <w:bottom w:val="none" w:sz="0" w:space="0" w:color="auto"/>
        <w:right w:val="none" w:sz="0" w:space="0" w:color="auto"/>
      </w:divBdr>
    </w:div>
    <w:div w:id="464546637">
      <w:bodyDiv w:val="1"/>
      <w:marLeft w:val="0"/>
      <w:marRight w:val="0"/>
      <w:marTop w:val="0"/>
      <w:marBottom w:val="0"/>
      <w:divBdr>
        <w:top w:val="none" w:sz="0" w:space="0" w:color="auto"/>
        <w:left w:val="none" w:sz="0" w:space="0" w:color="auto"/>
        <w:bottom w:val="none" w:sz="0" w:space="0" w:color="auto"/>
        <w:right w:val="none" w:sz="0" w:space="0" w:color="auto"/>
      </w:divBdr>
    </w:div>
    <w:div w:id="485704814">
      <w:bodyDiv w:val="1"/>
      <w:marLeft w:val="0"/>
      <w:marRight w:val="0"/>
      <w:marTop w:val="0"/>
      <w:marBottom w:val="0"/>
      <w:divBdr>
        <w:top w:val="none" w:sz="0" w:space="0" w:color="auto"/>
        <w:left w:val="none" w:sz="0" w:space="0" w:color="auto"/>
        <w:bottom w:val="none" w:sz="0" w:space="0" w:color="auto"/>
        <w:right w:val="none" w:sz="0" w:space="0" w:color="auto"/>
      </w:divBdr>
    </w:div>
    <w:div w:id="488601003">
      <w:bodyDiv w:val="1"/>
      <w:marLeft w:val="0"/>
      <w:marRight w:val="0"/>
      <w:marTop w:val="0"/>
      <w:marBottom w:val="0"/>
      <w:divBdr>
        <w:top w:val="none" w:sz="0" w:space="0" w:color="auto"/>
        <w:left w:val="none" w:sz="0" w:space="0" w:color="auto"/>
        <w:bottom w:val="none" w:sz="0" w:space="0" w:color="auto"/>
        <w:right w:val="none" w:sz="0" w:space="0" w:color="auto"/>
      </w:divBdr>
    </w:div>
    <w:div w:id="495532724">
      <w:bodyDiv w:val="1"/>
      <w:marLeft w:val="0"/>
      <w:marRight w:val="0"/>
      <w:marTop w:val="0"/>
      <w:marBottom w:val="0"/>
      <w:divBdr>
        <w:top w:val="none" w:sz="0" w:space="0" w:color="auto"/>
        <w:left w:val="none" w:sz="0" w:space="0" w:color="auto"/>
        <w:bottom w:val="none" w:sz="0" w:space="0" w:color="auto"/>
        <w:right w:val="none" w:sz="0" w:space="0" w:color="auto"/>
      </w:divBdr>
    </w:div>
    <w:div w:id="504441997">
      <w:bodyDiv w:val="1"/>
      <w:marLeft w:val="0"/>
      <w:marRight w:val="0"/>
      <w:marTop w:val="0"/>
      <w:marBottom w:val="0"/>
      <w:divBdr>
        <w:top w:val="none" w:sz="0" w:space="0" w:color="auto"/>
        <w:left w:val="none" w:sz="0" w:space="0" w:color="auto"/>
        <w:bottom w:val="none" w:sz="0" w:space="0" w:color="auto"/>
        <w:right w:val="none" w:sz="0" w:space="0" w:color="auto"/>
      </w:divBdr>
    </w:div>
    <w:div w:id="533156137">
      <w:bodyDiv w:val="1"/>
      <w:marLeft w:val="0"/>
      <w:marRight w:val="0"/>
      <w:marTop w:val="0"/>
      <w:marBottom w:val="0"/>
      <w:divBdr>
        <w:top w:val="none" w:sz="0" w:space="0" w:color="auto"/>
        <w:left w:val="none" w:sz="0" w:space="0" w:color="auto"/>
        <w:bottom w:val="none" w:sz="0" w:space="0" w:color="auto"/>
        <w:right w:val="none" w:sz="0" w:space="0" w:color="auto"/>
      </w:divBdr>
      <w:divsChild>
        <w:div w:id="918172449">
          <w:marLeft w:val="0"/>
          <w:marRight w:val="0"/>
          <w:marTop w:val="0"/>
          <w:marBottom w:val="0"/>
          <w:divBdr>
            <w:top w:val="none" w:sz="0" w:space="0" w:color="auto"/>
            <w:left w:val="none" w:sz="0" w:space="0" w:color="auto"/>
            <w:bottom w:val="none" w:sz="0" w:space="0" w:color="auto"/>
            <w:right w:val="none" w:sz="0" w:space="0" w:color="auto"/>
          </w:divBdr>
          <w:divsChild>
            <w:div w:id="136654185">
              <w:marLeft w:val="0"/>
              <w:marRight w:val="0"/>
              <w:marTop w:val="0"/>
              <w:marBottom w:val="0"/>
              <w:divBdr>
                <w:top w:val="none" w:sz="0" w:space="0" w:color="auto"/>
                <w:left w:val="none" w:sz="0" w:space="0" w:color="auto"/>
                <w:bottom w:val="none" w:sz="0" w:space="0" w:color="auto"/>
                <w:right w:val="none" w:sz="0" w:space="0" w:color="auto"/>
              </w:divBdr>
              <w:divsChild>
                <w:div w:id="1140345901">
                  <w:marLeft w:val="0"/>
                  <w:marRight w:val="0"/>
                  <w:marTop w:val="0"/>
                  <w:marBottom w:val="0"/>
                  <w:divBdr>
                    <w:top w:val="none" w:sz="0" w:space="0" w:color="auto"/>
                    <w:left w:val="none" w:sz="0" w:space="0" w:color="auto"/>
                    <w:bottom w:val="none" w:sz="0" w:space="0" w:color="auto"/>
                    <w:right w:val="none" w:sz="0" w:space="0" w:color="auto"/>
                  </w:divBdr>
                  <w:divsChild>
                    <w:div w:id="1644579690">
                      <w:marLeft w:val="0"/>
                      <w:marRight w:val="0"/>
                      <w:marTop w:val="0"/>
                      <w:marBottom w:val="0"/>
                      <w:divBdr>
                        <w:top w:val="none" w:sz="0" w:space="0" w:color="auto"/>
                        <w:left w:val="none" w:sz="0" w:space="0" w:color="auto"/>
                        <w:bottom w:val="none" w:sz="0" w:space="0" w:color="auto"/>
                        <w:right w:val="none" w:sz="0" w:space="0" w:color="auto"/>
                      </w:divBdr>
                      <w:divsChild>
                        <w:div w:id="788475830">
                          <w:marLeft w:val="0"/>
                          <w:marRight w:val="0"/>
                          <w:marTop w:val="0"/>
                          <w:marBottom w:val="0"/>
                          <w:divBdr>
                            <w:top w:val="none" w:sz="0" w:space="0" w:color="auto"/>
                            <w:left w:val="none" w:sz="0" w:space="0" w:color="auto"/>
                            <w:bottom w:val="none" w:sz="0" w:space="0" w:color="auto"/>
                            <w:right w:val="none" w:sz="0" w:space="0" w:color="auto"/>
                          </w:divBdr>
                          <w:divsChild>
                            <w:div w:id="1864518986">
                              <w:marLeft w:val="0"/>
                              <w:marRight w:val="0"/>
                              <w:marTop w:val="0"/>
                              <w:marBottom w:val="0"/>
                              <w:divBdr>
                                <w:top w:val="none" w:sz="0" w:space="0" w:color="auto"/>
                                <w:left w:val="none" w:sz="0" w:space="0" w:color="auto"/>
                                <w:bottom w:val="none" w:sz="0" w:space="0" w:color="auto"/>
                                <w:right w:val="none" w:sz="0" w:space="0" w:color="auto"/>
                              </w:divBdr>
                              <w:divsChild>
                                <w:div w:id="5855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266312">
      <w:bodyDiv w:val="1"/>
      <w:marLeft w:val="0"/>
      <w:marRight w:val="0"/>
      <w:marTop w:val="0"/>
      <w:marBottom w:val="0"/>
      <w:divBdr>
        <w:top w:val="none" w:sz="0" w:space="0" w:color="auto"/>
        <w:left w:val="none" w:sz="0" w:space="0" w:color="auto"/>
        <w:bottom w:val="none" w:sz="0" w:space="0" w:color="auto"/>
        <w:right w:val="none" w:sz="0" w:space="0" w:color="auto"/>
      </w:divBdr>
    </w:div>
    <w:div w:id="623000649">
      <w:bodyDiv w:val="1"/>
      <w:marLeft w:val="0"/>
      <w:marRight w:val="0"/>
      <w:marTop w:val="0"/>
      <w:marBottom w:val="0"/>
      <w:divBdr>
        <w:top w:val="none" w:sz="0" w:space="0" w:color="auto"/>
        <w:left w:val="none" w:sz="0" w:space="0" w:color="auto"/>
        <w:bottom w:val="none" w:sz="0" w:space="0" w:color="auto"/>
        <w:right w:val="none" w:sz="0" w:space="0" w:color="auto"/>
      </w:divBdr>
      <w:divsChild>
        <w:div w:id="123471753">
          <w:marLeft w:val="0"/>
          <w:marRight w:val="0"/>
          <w:marTop w:val="0"/>
          <w:marBottom w:val="0"/>
          <w:divBdr>
            <w:top w:val="none" w:sz="0" w:space="0" w:color="auto"/>
            <w:left w:val="none" w:sz="0" w:space="0" w:color="auto"/>
            <w:bottom w:val="none" w:sz="0" w:space="0" w:color="auto"/>
            <w:right w:val="none" w:sz="0" w:space="0" w:color="auto"/>
          </w:divBdr>
          <w:divsChild>
            <w:div w:id="1767143529">
              <w:marLeft w:val="0"/>
              <w:marRight w:val="0"/>
              <w:marTop w:val="0"/>
              <w:marBottom w:val="0"/>
              <w:divBdr>
                <w:top w:val="none" w:sz="0" w:space="0" w:color="auto"/>
                <w:left w:val="none" w:sz="0" w:space="0" w:color="auto"/>
                <w:bottom w:val="none" w:sz="0" w:space="0" w:color="auto"/>
                <w:right w:val="none" w:sz="0" w:space="0" w:color="auto"/>
              </w:divBdr>
              <w:divsChild>
                <w:div w:id="1475029908">
                  <w:marLeft w:val="0"/>
                  <w:marRight w:val="0"/>
                  <w:marTop w:val="0"/>
                  <w:marBottom w:val="0"/>
                  <w:divBdr>
                    <w:top w:val="none" w:sz="0" w:space="0" w:color="auto"/>
                    <w:left w:val="none" w:sz="0" w:space="0" w:color="auto"/>
                    <w:bottom w:val="none" w:sz="0" w:space="0" w:color="auto"/>
                    <w:right w:val="none" w:sz="0" w:space="0" w:color="auto"/>
                  </w:divBdr>
                  <w:divsChild>
                    <w:div w:id="587275375">
                      <w:marLeft w:val="0"/>
                      <w:marRight w:val="0"/>
                      <w:marTop w:val="0"/>
                      <w:marBottom w:val="0"/>
                      <w:divBdr>
                        <w:top w:val="none" w:sz="0" w:space="0" w:color="auto"/>
                        <w:left w:val="none" w:sz="0" w:space="0" w:color="auto"/>
                        <w:bottom w:val="none" w:sz="0" w:space="0" w:color="auto"/>
                        <w:right w:val="none" w:sz="0" w:space="0" w:color="auto"/>
                      </w:divBdr>
                      <w:divsChild>
                        <w:div w:id="1759518967">
                          <w:marLeft w:val="0"/>
                          <w:marRight w:val="0"/>
                          <w:marTop w:val="0"/>
                          <w:marBottom w:val="0"/>
                          <w:divBdr>
                            <w:top w:val="none" w:sz="0" w:space="0" w:color="auto"/>
                            <w:left w:val="none" w:sz="0" w:space="0" w:color="auto"/>
                            <w:bottom w:val="none" w:sz="0" w:space="0" w:color="auto"/>
                            <w:right w:val="none" w:sz="0" w:space="0" w:color="auto"/>
                          </w:divBdr>
                          <w:divsChild>
                            <w:div w:id="1305818539">
                              <w:marLeft w:val="0"/>
                              <w:marRight w:val="0"/>
                              <w:marTop w:val="0"/>
                              <w:marBottom w:val="0"/>
                              <w:divBdr>
                                <w:top w:val="none" w:sz="0" w:space="0" w:color="auto"/>
                                <w:left w:val="none" w:sz="0" w:space="0" w:color="auto"/>
                                <w:bottom w:val="none" w:sz="0" w:space="0" w:color="auto"/>
                                <w:right w:val="none" w:sz="0" w:space="0" w:color="auto"/>
                              </w:divBdr>
                              <w:divsChild>
                                <w:div w:id="4060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180612">
      <w:bodyDiv w:val="1"/>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1007249553">
              <w:marLeft w:val="0"/>
              <w:marRight w:val="0"/>
              <w:marTop w:val="0"/>
              <w:marBottom w:val="0"/>
              <w:divBdr>
                <w:top w:val="none" w:sz="0" w:space="0" w:color="auto"/>
                <w:left w:val="none" w:sz="0" w:space="0" w:color="auto"/>
                <w:bottom w:val="none" w:sz="0" w:space="0" w:color="auto"/>
                <w:right w:val="none" w:sz="0" w:space="0" w:color="auto"/>
              </w:divBdr>
              <w:divsChild>
                <w:div w:id="1768455752">
                  <w:marLeft w:val="0"/>
                  <w:marRight w:val="0"/>
                  <w:marTop w:val="0"/>
                  <w:marBottom w:val="0"/>
                  <w:divBdr>
                    <w:top w:val="none" w:sz="0" w:space="0" w:color="auto"/>
                    <w:left w:val="none" w:sz="0" w:space="0" w:color="auto"/>
                    <w:bottom w:val="none" w:sz="0" w:space="0" w:color="auto"/>
                    <w:right w:val="none" w:sz="0" w:space="0" w:color="auto"/>
                  </w:divBdr>
                  <w:divsChild>
                    <w:div w:id="1253005274">
                      <w:marLeft w:val="0"/>
                      <w:marRight w:val="0"/>
                      <w:marTop w:val="0"/>
                      <w:marBottom w:val="0"/>
                      <w:divBdr>
                        <w:top w:val="none" w:sz="0" w:space="0" w:color="auto"/>
                        <w:left w:val="none" w:sz="0" w:space="0" w:color="auto"/>
                        <w:bottom w:val="none" w:sz="0" w:space="0" w:color="auto"/>
                        <w:right w:val="none" w:sz="0" w:space="0" w:color="auto"/>
                      </w:divBdr>
                      <w:divsChild>
                        <w:div w:id="283198617">
                          <w:marLeft w:val="0"/>
                          <w:marRight w:val="0"/>
                          <w:marTop w:val="0"/>
                          <w:marBottom w:val="0"/>
                          <w:divBdr>
                            <w:top w:val="none" w:sz="0" w:space="0" w:color="auto"/>
                            <w:left w:val="none" w:sz="0" w:space="0" w:color="auto"/>
                            <w:bottom w:val="none" w:sz="0" w:space="0" w:color="auto"/>
                            <w:right w:val="none" w:sz="0" w:space="0" w:color="auto"/>
                          </w:divBdr>
                          <w:divsChild>
                            <w:div w:id="231434444">
                              <w:marLeft w:val="0"/>
                              <w:marRight w:val="0"/>
                              <w:marTop w:val="0"/>
                              <w:marBottom w:val="0"/>
                              <w:divBdr>
                                <w:top w:val="none" w:sz="0" w:space="0" w:color="auto"/>
                                <w:left w:val="none" w:sz="0" w:space="0" w:color="auto"/>
                                <w:bottom w:val="none" w:sz="0" w:space="0" w:color="auto"/>
                                <w:right w:val="none" w:sz="0" w:space="0" w:color="auto"/>
                              </w:divBdr>
                              <w:divsChild>
                                <w:div w:id="15665963">
                                  <w:marLeft w:val="0"/>
                                  <w:marRight w:val="0"/>
                                  <w:marTop w:val="0"/>
                                  <w:marBottom w:val="0"/>
                                  <w:divBdr>
                                    <w:top w:val="none" w:sz="0" w:space="0" w:color="auto"/>
                                    <w:left w:val="none" w:sz="0" w:space="0" w:color="auto"/>
                                    <w:bottom w:val="none" w:sz="0" w:space="0" w:color="auto"/>
                                    <w:right w:val="none" w:sz="0" w:space="0" w:color="auto"/>
                                  </w:divBdr>
                                  <w:divsChild>
                                    <w:div w:id="1901166351">
                                      <w:marLeft w:val="0"/>
                                      <w:marRight w:val="0"/>
                                      <w:marTop w:val="0"/>
                                      <w:marBottom w:val="0"/>
                                      <w:divBdr>
                                        <w:top w:val="none" w:sz="0" w:space="0" w:color="auto"/>
                                        <w:left w:val="none" w:sz="0" w:space="0" w:color="auto"/>
                                        <w:bottom w:val="none" w:sz="0" w:space="0" w:color="auto"/>
                                        <w:right w:val="none" w:sz="0" w:space="0" w:color="auto"/>
                                      </w:divBdr>
                                      <w:divsChild>
                                        <w:div w:id="251086439">
                                          <w:marLeft w:val="0"/>
                                          <w:marRight w:val="0"/>
                                          <w:marTop w:val="0"/>
                                          <w:marBottom w:val="0"/>
                                          <w:divBdr>
                                            <w:top w:val="none" w:sz="0" w:space="0" w:color="auto"/>
                                            <w:left w:val="none" w:sz="0" w:space="0" w:color="auto"/>
                                            <w:bottom w:val="none" w:sz="0" w:space="0" w:color="auto"/>
                                            <w:right w:val="none" w:sz="0" w:space="0" w:color="auto"/>
                                          </w:divBdr>
                                          <w:divsChild>
                                            <w:div w:id="784075964">
                                              <w:marLeft w:val="0"/>
                                              <w:marRight w:val="0"/>
                                              <w:marTop w:val="0"/>
                                              <w:marBottom w:val="0"/>
                                              <w:divBdr>
                                                <w:top w:val="none" w:sz="0" w:space="0" w:color="auto"/>
                                                <w:left w:val="none" w:sz="0" w:space="0" w:color="auto"/>
                                                <w:bottom w:val="none" w:sz="0" w:space="0" w:color="auto"/>
                                                <w:right w:val="none" w:sz="0" w:space="0" w:color="auto"/>
                                              </w:divBdr>
                                              <w:divsChild>
                                                <w:div w:id="661396703">
                                                  <w:marLeft w:val="0"/>
                                                  <w:marRight w:val="0"/>
                                                  <w:marTop w:val="0"/>
                                                  <w:marBottom w:val="525"/>
                                                  <w:divBdr>
                                                    <w:top w:val="none" w:sz="0" w:space="0" w:color="auto"/>
                                                    <w:left w:val="none" w:sz="0" w:space="0" w:color="auto"/>
                                                    <w:bottom w:val="none" w:sz="0" w:space="0" w:color="auto"/>
                                                    <w:right w:val="none" w:sz="0" w:space="0" w:color="auto"/>
                                                  </w:divBdr>
                                                  <w:divsChild>
                                                    <w:div w:id="324748974">
                                                      <w:marLeft w:val="0"/>
                                                      <w:marRight w:val="0"/>
                                                      <w:marTop w:val="0"/>
                                                      <w:marBottom w:val="0"/>
                                                      <w:divBdr>
                                                        <w:top w:val="none" w:sz="0" w:space="0" w:color="auto"/>
                                                        <w:left w:val="none" w:sz="0" w:space="0" w:color="auto"/>
                                                        <w:bottom w:val="none" w:sz="0" w:space="0" w:color="auto"/>
                                                        <w:right w:val="none" w:sz="0" w:space="0" w:color="auto"/>
                                                      </w:divBdr>
                                                      <w:divsChild>
                                                        <w:div w:id="440296198">
                                                          <w:marLeft w:val="0"/>
                                                          <w:marRight w:val="0"/>
                                                          <w:marTop w:val="0"/>
                                                          <w:marBottom w:val="525"/>
                                                          <w:divBdr>
                                                            <w:top w:val="none" w:sz="0" w:space="0" w:color="auto"/>
                                                            <w:left w:val="none" w:sz="0" w:space="0" w:color="auto"/>
                                                            <w:bottom w:val="none" w:sz="0" w:space="0" w:color="auto"/>
                                                            <w:right w:val="none" w:sz="0" w:space="0" w:color="auto"/>
                                                          </w:divBdr>
                                                          <w:divsChild>
                                                            <w:div w:id="702753012">
                                                              <w:marLeft w:val="0"/>
                                                              <w:marRight w:val="0"/>
                                                              <w:marTop w:val="0"/>
                                                              <w:marBottom w:val="0"/>
                                                              <w:divBdr>
                                                                <w:top w:val="none" w:sz="0" w:space="0" w:color="auto"/>
                                                                <w:left w:val="none" w:sz="0" w:space="0" w:color="auto"/>
                                                                <w:bottom w:val="none" w:sz="0" w:space="0" w:color="auto"/>
                                                                <w:right w:val="none" w:sz="0" w:space="0" w:color="auto"/>
                                                              </w:divBdr>
                                                              <w:divsChild>
                                                                <w:div w:id="3644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6567611">
      <w:bodyDiv w:val="1"/>
      <w:marLeft w:val="0"/>
      <w:marRight w:val="0"/>
      <w:marTop w:val="0"/>
      <w:marBottom w:val="0"/>
      <w:divBdr>
        <w:top w:val="none" w:sz="0" w:space="0" w:color="auto"/>
        <w:left w:val="none" w:sz="0" w:space="0" w:color="auto"/>
        <w:bottom w:val="none" w:sz="0" w:space="0" w:color="auto"/>
        <w:right w:val="none" w:sz="0" w:space="0" w:color="auto"/>
      </w:divBdr>
    </w:div>
    <w:div w:id="674573728">
      <w:bodyDiv w:val="1"/>
      <w:marLeft w:val="0"/>
      <w:marRight w:val="0"/>
      <w:marTop w:val="0"/>
      <w:marBottom w:val="0"/>
      <w:divBdr>
        <w:top w:val="none" w:sz="0" w:space="0" w:color="auto"/>
        <w:left w:val="none" w:sz="0" w:space="0" w:color="auto"/>
        <w:bottom w:val="none" w:sz="0" w:space="0" w:color="auto"/>
        <w:right w:val="none" w:sz="0" w:space="0" w:color="auto"/>
      </w:divBdr>
      <w:divsChild>
        <w:div w:id="521553359">
          <w:marLeft w:val="0"/>
          <w:marRight w:val="0"/>
          <w:marTop w:val="0"/>
          <w:marBottom w:val="0"/>
          <w:divBdr>
            <w:top w:val="none" w:sz="0" w:space="0" w:color="auto"/>
            <w:left w:val="none" w:sz="0" w:space="0" w:color="auto"/>
            <w:bottom w:val="none" w:sz="0" w:space="0" w:color="auto"/>
            <w:right w:val="none" w:sz="0" w:space="0" w:color="auto"/>
          </w:divBdr>
        </w:div>
        <w:div w:id="1068923972">
          <w:marLeft w:val="0"/>
          <w:marRight w:val="0"/>
          <w:marTop w:val="0"/>
          <w:marBottom w:val="0"/>
          <w:divBdr>
            <w:top w:val="none" w:sz="0" w:space="0" w:color="auto"/>
            <w:left w:val="none" w:sz="0" w:space="0" w:color="auto"/>
            <w:bottom w:val="none" w:sz="0" w:space="0" w:color="auto"/>
            <w:right w:val="none" w:sz="0" w:space="0" w:color="auto"/>
          </w:divBdr>
        </w:div>
        <w:div w:id="1952275683">
          <w:marLeft w:val="0"/>
          <w:marRight w:val="0"/>
          <w:marTop w:val="0"/>
          <w:marBottom w:val="0"/>
          <w:divBdr>
            <w:top w:val="none" w:sz="0" w:space="0" w:color="auto"/>
            <w:left w:val="none" w:sz="0" w:space="0" w:color="auto"/>
            <w:bottom w:val="none" w:sz="0" w:space="0" w:color="auto"/>
            <w:right w:val="none" w:sz="0" w:space="0" w:color="auto"/>
          </w:divBdr>
        </w:div>
      </w:divsChild>
    </w:div>
    <w:div w:id="699671566">
      <w:bodyDiv w:val="1"/>
      <w:marLeft w:val="0"/>
      <w:marRight w:val="0"/>
      <w:marTop w:val="0"/>
      <w:marBottom w:val="0"/>
      <w:divBdr>
        <w:top w:val="none" w:sz="0" w:space="0" w:color="auto"/>
        <w:left w:val="none" w:sz="0" w:space="0" w:color="auto"/>
        <w:bottom w:val="none" w:sz="0" w:space="0" w:color="auto"/>
        <w:right w:val="none" w:sz="0" w:space="0" w:color="auto"/>
      </w:divBdr>
    </w:div>
    <w:div w:id="720176480">
      <w:bodyDiv w:val="1"/>
      <w:marLeft w:val="0"/>
      <w:marRight w:val="0"/>
      <w:marTop w:val="0"/>
      <w:marBottom w:val="0"/>
      <w:divBdr>
        <w:top w:val="none" w:sz="0" w:space="0" w:color="auto"/>
        <w:left w:val="none" w:sz="0" w:space="0" w:color="auto"/>
        <w:bottom w:val="none" w:sz="0" w:space="0" w:color="auto"/>
        <w:right w:val="none" w:sz="0" w:space="0" w:color="auto"/>
      </w:divBdr>
    </w:div>
    <w:div w:id="743187803">
      <w:bodyDiv w:val="1"/>
      <w:marLeft w:val="0"/>
      <w:marRight w:val="0"/>
      <w:marTop w:val="0"/>
      <w:marBottom w:val="0"/>
      <w:divBdr>
        <w:top w:val="none" w:sz="0" w:space="0" w:color="auto"/>
        <w:left w:val="none" w:sz="0" w:space="0" w:color="auto"/>
        <w:bottom w:val="none" w:sz="0" w:space="0" w:color="auto"/>
        <w:right w:val="none" w:sz="0" w:space="0" w:color="auto"/>
      </w:divBdr>
    </w:div>
    <w:div w:id="760296561">
      <w:bodyDiv w:val="1"/>
      <w:marLeft w:val="0"/>
      <w:marRight w:val="0"/>
      <w:marTop w:val="0"/>
      <w:marBottom w:val="0"/>
      <w:divBdr>
        <w:top w:val="none" w:sz="0" w:space="0" w:color="auto"/>
        <w:left w:val="none" w:sz="0" w:space="0" w:color="auto"/>
        <w:bottom w:val="none" w:sz="0" w:space="0" w:color="auto"/>
        <w:right w:val="none" w:sz="0" w:space="0" w:color="auto"/>
      </w:divBdr>
    </w:div>
    <w:div w:id="788275968">
      <w:bodyDiv w:val="1"/>
      <w:marLeft w:val="0"/>
      <w:marRight w:val="0"/>
      <w:marTop w:val="0"/>
      <w:marBottom w:val="0"/>
      <w:divBdr>
        <w:top w:val="none" w:sz="0" w:space="0" w:color="auto"/>
        <w:left w:val="none" w:sz="0" w:space="0" w:color="auto"/>
        <w:bottom w:val="none" w:sz="0" w:space="0" w:color="auto"/>
        <w:right w:val="none" w:sz="0" w:space="0" w:color="auto"/>
      </w:divBdr>
    </w:div>
    <w:div w:id="792018679">
      <w:bodyDiv w:val="1"/>
      <w:marLeft w:val="0"/>
      <w:marRight w:val="0"/>
      <w:marTop w:val="0"/>
      <w:marBottom w:val="0"/>
      <w:divBdr>
        <w:top w:val="none" w:sz="0" w:space="0" w:color="auto"/>
        <w:left w:val="none" w:sz="0" w:space="0" w:color="auto"/>
        <w:bottom w:val="none" w:sz="0" w:space="0" w:color="auto"/>
        <w:right w:val="none" w:sz="0" w:space="0" w:color="auto"/>
      </w:divBdr>
    </w:div>
    <w:div w:id="794178844">
      <w:bodyDiv w:val="1"/>
      <w:marLeft w:val="0"/>
      <w:marRight w:val="0"/>
      <w:marTop w:val="0"/>
      <w:marBottom w:val="0"/>
      <w:divBdr>
        <w:top w:val="none" w:sz="0" w:space="0" w:color="auto"/>
        <w:left w:val="none" w:sz="0" w:space="0" w:color="auto"/>
        <w:bottom w:val="none" w:sz="0" w:space="0" w:color="auto"/>
        <w:right w:val="none" w:sz="0" w:space="0" w:color="auto"/>
      </w:divBdr>
    </w:div>
    <w:div w:id="797725449">
      <w:bodyDiv w:val="1"/>
      <w:marLeft w:val="0"/>
      <w:marRight w:val="0"/>
      <w:marTop w:val="0"/>
      <w:marBottom w:val="0"/>
      <w:divBdr>
        <w:top w:val="none" w:sz="0" w:space="0" w:color="auto"/>
        <w:left w:val="none" w:sz="0" w:space="0" w:color="auto"/>
        <w:bottom w:val="none" w:sz="0" w:space="0" w:color="auto"/>
        <w:right w:val="none" w:sz="0" w:space="0" w:color="auto"/>
      </w:divBdr>
    </w:div>
    <w:div w:id="834536091">
      <w:bodyDiv w:val="1"/>
      <w:marLeft w:val="0"/>
      <w:marRight w:val="0"/>
      <w:marTop w:val="0"/>
      <w:marBottom w:val="0"/>
      <w:divBdr>
        <w:top w:val="none" w:sz="0" w:space="0" w:color="auto"/>
        <w:left w:val="none" w:sz="0" w:space="0" w:color="auto"/>
        <w:bottom w:val="none" w:sz="0" w:space="0" w:color="auto"/>
        <w:right w:val="none" w:sz="0" w:space="0" w:color="auto"/>
      </w:divBdr>
    </w:div>
    <w:div w:id="849376228">
      <w:bodyDiv w:val="1"/>
      <w:marLeft w:val="0"/>
      <w:marRight w:val="0"/>
      <w:marTop w:val="0"/>
      <w:marBottom w:val="0"/>
      <w:divBdr>
        <w:top w:val="none" w:sz="0" w:space="0" w:color="auto"/>
        <w:left w:val="none" w:sz="0" w:space="0" w:color="auto"/>
        <w:bottom w:val="none" w:sz="0" w:space="0" w:color="auto"/>
        <w:right w:val="none" w:sz="0" w:space="0" w:color="auto"/>
      </w:divBdr>
    </w:div>
    <w:div w:id="851451971">
      <w:bodyDiv w:val="1"/>
      <w:marLeft w:val="0"/>
      <w:marRight w:val="0"/>
      <w:marTop w:val="0"/>
      <w:marBottom w:val="0"/>
      <w:divBdr>
        <w:top w:val="none" w:sz="0" w:space="0" w:color="auto"/>
        <w:left w:val="none" w:sz="0" w:space="0" w:color="auto"/>
        <w:bottom w:val="none" w:sz="0" w:space="0" w:color="auto"/>
        <w:right w:val="none" w:sz="0" w:space="0" w:color="auto"/>
      </w:divBdr>
    </w:div>
    <w:div w:id="855659211">
      <w:bodyDiv w:val="1"/>
      <w:marLeft w:val="0"/>
      <w:marRight w:val="0"/>
      <w:marTop w:val="0"/>
      <w:marBottom w:val="0"/>
      <w:divBdr>
        <w:top w:val="none" w:sz="0" w:space="0" w:color="auto"/>
        <w:left w:val="none" w:sz="0" w:space="0" w:color="auto"/>
        <w:bottom w:val="none" w:sz="0" w:space="0" w:color="auto"/>
        <w:right w:val="none" w:sz="0" w:space="0" w:color="auto"/>
      </w:divBdr>
    </w:div>
    <w:div w:id="910699151">
      <w:bodyDiv w:val="1"/>
      <w:marLeft w:val="0"/>
      <w:marRight w:val="0"/>
      <w:marTop w:val="0"/>
      <w:marBottom w:val="0"/>
      <w:divBdr>
        <w:top w:val="none" w:sz="0" w:space="0" w:color="auto"/>
        <w:left w:val="none" w:sz="0" w:space="0" w:color="auto"/>
        <w:bottom w:val="none" w:sz="0" w:space="0" w:color="auto"/>
        <w:right w:val="none" w:sz="0" w:space="0" w:color="auto"/>
      </w:divBdr>
    </w:div>
    <w:div w:id="971600313">
      <w:bodyDiv w:val="1"/>
      <w:marLeft w:val="0"/>
      <w:marRight w:val="0"/>
      <w:marTop w:val="0"/>
      <w:marBottom w:val="0"/>
      <w:divBdr>
        <w:top w:val="none" w:sz="0" w:space="0" w:color="auto"/>
        <w:left w:val="none" w:sz="0" w:space="0" w:color="auto"/>
        <w:bottom w:val="none" w:sz="0" w:space="0" w:color="auto"/>
        <w:right w:val="none" w:sz="0" w:space="0" w:color="auto"/>
      </w:divBdr>
    </w:div>
    <w:div w:id="1023090315">
      <w:bodyDiv w:val="1"/>
      <w:marLeft w:val="0"/>
      <w:marRight w:val="0"/>
      <w:marTop w:val="0"/>
      <w:marBottom w:val="0"/>
      <w:divBdr>
        <w:top w:val="none" w:sz="0" w:space="0" w:color="auto"/>
        <w:left w:val="none" w:sz="0" w:space="0" w:color="auto"/>
        <w:bottom w:val="none" w:sz="0" w:space="0" w:color="auto"/>
        <w:right w:val="none" w:sz="0" w:space="0" w:color="auto"/>
      </w:divBdr>
    </w:div>
    <w:div w:id="1046442699">
      <w:bodyDiv w:val="1"/>
      <w:marLeft w:val="0"/>
      <w:marRight w:val="0"/>
      <w:marTop w:val="0"/>
      <w:marBottom w:val="0"/>
      <w:divBdr>
        <w:top w:val="none" w:sz="0" w:space="0" w:color="auto"/>
        <w:left w:val="none" w:sz="0" w:space="0" w:color="auto"/>
        <w:bottom w:val="none" w:sz="0" w:space="0" w:color="auto"/>
        <w:right w:val="none" w:sz="0" w:space="0" w:color="auto"/>
      </w:divBdr>
    </w:div>
    <w:div w:id="1088232424">
      <w:bodyDiv w:val="1"/>
      <w:marLeft w:val="0"/>
      <w:marRight w:val="0"/>
      <w:marTop w:val="0"/>
      <w:marBottom w:val="0"/>
      <w:divBdr>
        <w:top w:val="none" w:sz="0" w:space="0" w:color="auto"/>
        <w:left w:val="none" w:sz="0" w:space="0" w:color="auto"/>
        <w:bottom w:val="none" w:sz="0" w:space="0" w:color="auto"/>
        <w:right w:val="none" w:sz="0" w:space="0" w:color="auto"/>
      </w:divBdr>
    </w:div>
    <w:div w:id="1091779505">
      <w:bodyDiv w:val="1"/>
      <w:marLeft w:val="0"/>
      <w:marRight w:val="0"/>
      <w:marTop w:val="0"/>
      <w:marBottom w:val="0"/>
      <w:divBdr>
        <w:top w:val="none" w:sz="0" w:space="0" w:color="auto"/>
        <w:left w:val="none" w:sz="0" w:space="0" w:color="auto"/>
        <w:bottom w:val="none" w:sz="0" w:space="0" w:color="auto"/>
        <w:right w:val="none" w:sz="0" w:space="0" w:color="auto"/>
      </w:divBdr>
    </w:div>
    <w:div w:id="1098450358">
      <w:bodyDiv w:val="1"/>
      <w:marLeft w:val="0"/>
      <w:marRight w:val="0"/>
      <w:marTop w:val="0"/>
      <w:marBottom w:val="0"/>
      <w:divBdr>
        <w:top w:val="none" w:sz="0" w:space="0" w:color="auto"/>
        <w:left w:val="none" w:sz="0" w:space="0" w:color="auto"/>
        <w:bottom w:val="none" w:sz="0" w:space="0" w:color="auto"/>
        <w:right w:val="none" w:sz="0" w:space="0" w:color="auto"/>
      </w:divBdr>
    </w:div>
    <w:div w:id="1126507316">
      <w:bodyDiv w:val="1"/>
      <w:marLeft w:val="0"/>
      <w:marRight w:val="0"/>
      <w:marTop w:val="0"/>
      <w:marBottom w:val="0"/>
      <w:divBdr>
        <w:top w:val="none" w:sz="0" w:space="0" w:color="auto"/>
        <w:left w:val="none" w:sz="0" w:space="0" w:color="auto"/>
        <w:bottom w:val="none" w:sz="0" w:space="0" w:color="auto"/>
        <w:right w:val="none" w:sz="0" w:space="0" w:color="auto"/>
      </w:divBdr>
    </w:div>
    <w:div w:id="1141459569">
      <w:bodyDiv w:val="1"/>
      <w:marLeft w:val="0"/>
      <w:marRight w:val="0"/>
      <w:marTop w:val="0"/>
      <w:marBottom w:val="0"/>
      <w:divBdr>
        <w:top w:val="none" w:sz="0" w:space="0" w:color="auto"/>
        <w:left w:val="none" w:sz="0" w:space="0" w:color="auto"/>
        <w:bottom w:val="none" w:sz="0" w:space="0" w:color="auto"/>
        <w:right w:val="none" w:sz="0" w:space="0" w:color="auto"/>
      </w:divBdr>
    </w:div>
    <w:div w:id="1168446383">
      <w:bodyDiv w:val="1"/>
      <w:marLeft w:val="0"/>
      <w:marRight w:val="0"/>
      <w:marTop w:val="0"/>
      <w:marBottom w:val="0"/>
      <w:divBdr>
        <w:top w:val="none" w:sz="0" w:space="0" w:color="auto"/>
        <w:left w:val="none" w:sz="0" w:space="0" w:color="auto"/>
        <w:bottom w:val="none" w:sz="0" w:space="0" w:color="auto"/>
        <w:right w:val="none" w:sz="0" w:space="0" w:color="auto"/>
      </w:divBdr>
    </w:div>
    <w:div w:id="1186989423">
      <w:bodyDiv w:val="1"/>
      <w:marLeft w:val="0"/>
      <w:marRight w:val="0"/>
      <w:marTop w:val="0"/>
      <w:marBottom w:val="0"/>
      <w:divBdr>
        <w:top w:val="none" w:sz="0" w:space="0" w:color="auto"/>
        <w:left w:val="none" w:sz="0" w:space="0" w:color="auto"/>
        <w:bottom w:val="none" w:sz="0" w:space="0" w:color="auto"/>
        <w:right w:val="none" w:sz="0" w:space="0" w:color="auto"/>
      </w:divBdr>
    </w:div>
    <w:div w:id="1190800245">
      <w:bodyDiv w:val="1"/>
      <w:marLeft w:val="0"/>
      <w:marRight w:val="0"/>
      <w:marTop w:val="0"/>
      <w:marBottom w:val="0"/>
      <w:divBdr>
        <w:top w:val="none" w:sz="0" w:space="0" w:color="auto"/>
        <w:left w:val="none" w:sz="0" w:space="0" w:color="auto"/>
        <w:bottom w:val="none" w:sz="0" w:space="0" w:color="auto"/>
        <w:right w:val="none" w:sz="0" w:space="0" w:color="auto"/>
      </w:divBdr>
    </w:div>
    <w:div w:id="1190871053">
      <w:bodyDiv w:val="1"/>
      <w:marLeft w:val="0"/>
      <w:marRight w:val="0"/>
      <w:marTop w:val="0"/>
      <w:marBottom w:val="0"/>
      <w:divBdr>
        <w:top w:val="none" w:sz="0" w:space="0" w:color="auto"/>
        <w:left w:val="none" w:sz="0" w:space="0" w:color="auto"/>
        <w:bottom w:val="none" w:sz="0" w:space="0" w:color="auto"/>
        <w:right w:val="none" w:sz="0" w:space="0" w:color="auto"/>
      </w:divBdr>
    </w:div>
    <w:div w:id="1209683337">
      <w:bodyDiv w:val="1"/>
      <w:marLeft w:val="0"/>
      <w:marRight w:val="0"/>
      <w:marTop w:val="0"/>
      <w:marBottom w:val="0"/>
      <w:divBdr>
        <w:top w:val="none" w:sz="0" w:space="0" w:color="auto"/>
        <w:left w:val="none" w:sz="0" w:space="0" w:color="auto"/>
        <w:bottom w:val="none" w:sz="0" w:space="0" w:color="auto"/>
        <w:right w:val="none" w:sz="0" w:space="0" w:color="auto"/>
      </w:divBdr>
    </w:div>
    <w:div w:id="1211573963">
      <w:bodyDiv w:val="1"/>
      <w:marLeft w:val="0"/>
      <w:marRight w:val="0"/>
      <w:marTop w:val="0"/>
      <w:marBottom w:val="0"/>
      <w:divBdr>
        <w:top w:val="none" w:sz="0" w:space="0" w:color="auto"/>
        <w:left w:val="none" w:sz="0" w:space="0" w:color="auto"/>
        <w:bottom w:val="none" w:sz="0" w:space="0" w:color="auto"/>
        <w:right w:val="none" w:sz="0" w:space="0" w:color="auto"/>
      </w:divBdr>
    </w:div>
    <w:div w:id="1217280706">
      <w:bodyDiv w:val="1"/>
      <w:marLeft w:val="0"/>
      <w:marRight w:val="0"/>
      <w:marTop w:val="0"/>
      <w:marBottom w:val="0"/>
      <w:divBdr>
        <w:top w:val="none" w:sz="0" w:space="0" w:color="auto"/>
        <w:left w:val="none" w:sz="0" w:space="0" w:color="auto"/>
        <w:bottom w:val="none" w:sz="0" w:space="0" w:color="auto"/>
        <w:right w:val="none" w:sz="0" w:space="0" w:color="auto"/>
      </w:divBdr>
    </w:div>
    <w:div w:id="1250846708">
      <w:bodyDiv w:val="1"/>
      <w:marLeft w:val="0"/>
      <w:marRight w:val="0"/>
      <w:marTop w:val="0"/>
      <w:marBottom w:val="0"/>
      <w:divBdr>
        <w:top w:val="none" w:sz="0" w:space="0" w:color="auto"/>
        <w:left w:val="none" w:sz="0" w:space="0" w:color="auto"/>
        <w:bottom w:val="none" w:sz="0" w:space="0" w:color="auto"/>
        <w:right w:val="none" w:sz="0" w:space="0" w:color="auto"/>
      </w:divBdr>
      <w:divsChild>
        <w:div w:id="1075518594">
          <w:marLeft w:val="0"/>
          <w:marRight w:val="0"/>
          <w:marTop w:val="0"/>
          <w:marBottom w:val="0"/>
          <w:divBdr>
            <w:top w:val="none" w:sz="0" w:space="0" w:color="auto"/>
            <w:left w:val="none" w:sz="0" w:space="0" w:color="auto"/>
            <w:bottom w:val="none" w:sz="0" w:space="0" w:color="auto"/>
            <w:right w:val="none" w:sz="0" w:space="0" w:color="auto"/>
          </w:divBdr>
          <w:divsChild>
            <w:div w:id="635138414">
              <w:marLeft w:val="0"/>
              <w:marRight w:val="0"/>
              <w:marTop w:val="0"/>
              <w:marBottom w:val="0"/>
              <w:divBdr>
                <w:top w:val="none" w:sz="0" w:space="0" w:color="auto"/>
                <w:left w:val="none" w:sz="0" w:space="0" w:color="auto"/>
                <w:bottom w:val="none" w:sz="0" w:space="0" w:color="auto"/>
                <w:right w:val="none" w:sz="0" w:space="0" w:color="auto"/>
              </w:divBdr>
              <w:divsChild>
                <w:div w:id="612976065">
                  <w:marLeft w:val="0"/>
                  <w:marRight w:val="0"/>
                  <w:marTop w:val="0"/>
                  <w:marBottom w:val="0"/>
                  <w:divBdr>
                    <w:top w:val="none" w:sz="0" w:space="0" w:color="auto"/>
                    <w:left w:val="none" w:sz="0" w:space="0" w:color="auto"/>
                    <w:bottom w:val="none" w:sz="0" w:space="0" w:color="auto"/>
                    <w:right w:val="none" w:sz="0" w:space="0" w:color="auto"/>
                  </w:divBdr>
                  <w:divsChild>
                    <w:div w:id="1533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07106">
      <w:bodyDiv w:val="1"/>
      <w:marLeft w:val="0"/>
      <w:marRight w:val="0"/>
      <w:marTop w:val="0"/>
      <w:marBottom w:val="0"/>
      <w:divBdr>
        <w:top w:val="none" w:sz="0" w:space="0" w:color="auto"/>
        <w:left w:val="none" w:sz="0" w:space="0" w:color="auto"/>
        <w:bottom w:val="none" w:sz="0" w:space="0" w:color="auto"/>
        <w:right w:val="none" w:sz="0" w:space="0" w:color="auto"/>
      </w:divBdr>
      <w:divsChild>
        <w:div w:id="1771580267">
          <w:marLeft w:val="360"/>
          <w:marRight w:val="0"/>
          <w:marTop w:val="0"/>
          <w:marBottom w:val="0"/>
          <w:divBdr>
            <w:top w:val="none" w:sz="0" w:space="0" w:color="auto"/>
            <w:left w:val="none" w:sz="0" w:space="0" w:color="auto"/>
            <w:bottom w:val="none" w:sz="0" w:space="0" w:color="auto"/>
            <w:right w:val="none" w:sz="0" w:space="0" w:color="auto"/>
          </w:divBdr>
        </w:div>
      </w:divsChild>
    </w:div>
    <w:div w:id="1291714780">
      <w:bodyDiv w:val="1"/>
      <w:marLeft w:val="0"/>
      <w:marRight w:val="0"/>
      <w:marTop w:val="0"/>
      <w:marBottom w:val="0"/>
      <w:divBdr>
        <w:top w:val="none" w:sz="0" w:space="0" w:color="auto"/>
        <w:left w:val="none" w:sz="0" w:space="0" w:color="auto"/>
        <w:bottom w:val="none" w:sz="0" w:space="0" w:color="auto"/>
        <w:right w:val="none" w:sz="0" w:space="0" w:color="auto"/>
      </w:divBdr>
    </w:div>
    <w:div w:id="1294599526">
      <w:bodyDiv w:val="1"/>
      <w:marLeft w:val="0"/>
      <w:marRight w:val="0"/>
      <w:marTop w:val="0"/>
      <w:marBottom w:val="0"/>
      <w:divBdr>
        <w:top w:val="none" w:sz="0" w:space="0" w:color="auto"/>
        <w:left w:val="none" w:sz="0" w:space="0" w:color="auto"/>
        <w:bottom w:val="none" w:sz="0" w:space="0" w:color="auto"/>
        <w:right w:val="none" w:sz="0" w:space="0" w:color="auto"/>
      </w:divBdr>
    </w:div>
    <w:div w:id="1306665152">
      <w:bodyDiv w:val="1"/>
      <w:marLeft w:val="0"/>
      <w:marRight w:val="0"/>
      <w:marTop w:val="0"/>
      <w:marBottom w:val="0"/>
      <w:divBdr>
        <w:top w:val="none" w:sz="0" w:space="0" w:color="auto"/>
        <w:left w:val="none" w:sz="0" w:space="0" w:color="auto"/>
        <w:bottom w:val="none" w:sz="0" w:space="0" w:color="auto"/>
        <w:right w:val="none" w:sz="0" w:space="0" w:color="auto"/>
      </w:divBdr>
    </w:div>
    <w:div w:id="1313368772">
      <w:bodyDiv w:val="1"/>
      <w:marLeft w:val="0"/>
      <w:marRight w:val="0"/>
      <w:marTop w:val="0"/>
      <w:marBottom w:val="0"/>
      <w:divBdr>
        <w:top w:val="none" w:sz="0" w:space="0" w:color="auto"/>
        <w:left w:val="none" w:sz="0" w:space="0" w:color="auto"/>
        <w:bottom w:val="none" w:sz="0" w:space="0" w:color="auto"/>
        <w:right w:val="none" w:sz="0" w:space="0" w:color="auto"/>
      </w:divBdr>
    </w:div>
    <w:div w:id="1316714556">
      <w:bodyDiv w:val="1"/>
      <w:marLeft w:val="0"/>
      <w:marRight w:val="0"/>
      <w:marTop w:val="0"/>
      <w:marBottom w:val="0"/>
      <w:divBdr>
        <w:top w:val="none" w:sz="0" w:space="0" w:color="auto"/>
        <w:left w:val="none" w:sz="0" w:space="0" w:color="auto"/>
        <w:bottom w:val="none" w:sz="0" w:space="0" w:color="auto"/>
        <w:right w:val="none" w:sz="0" w:space="0" w:color="auto"/>
      </w:divBdr>
    </w:div>
    <w:div w:id="1317876792">
      <w:bodyDiv w:val="1"/>
      <w:marLeft w:val="0"/>
      <w:marRight w:val="0"/>
      <w:marTop w:val="0"/>
      <w:marBottom w:val="0"/>
      <w:divBdr>
        <w:top w:val="none" w:sz="0" w:space="0" w:color="auto"/>
        <w:left w:val="none" w:sz="0" w:space="0" w:color="auto"/>
        <w:bottom w:val="none" w:sz="0" w:space="0" w:color="auto"/>
        <w:right w:val="none" w:sz="0" w:space="0" w:color="auto"/>
      </w:divBdr>
      <w:divsChild>
        <w:div w:id="2014532499">
          <w:marLeft w:val="0"/>
          <w:marRight w:val="0"/>
          <w:marTop w:val="0"/>
          <w:marBottom w:val="0"/>
          <w:divBdr>
            <w:top w:val="none" w:sz="0" w:space="0" w:color="auto"/>
            <w:left w:val="none" w:sz="0" w:space="0" w:color="auto"/>
            <w:bottom w:val="none" w:sz="0" w:space="0" w:color="auto"/>
            <w:right w:val="none" w:sz="0" w:space="0" w:color="auto"/>
          </w:divBdr>
          <w:divsChild>
            <w:div w:id="2037929106">
              <w:marLeft w:val="0"/>
              <w:marRight w:val="0"/>
              <w:marTop w:val="0"/>
              <w:marBottom w:val="0"/>
              <w:divBdr>
                <w:top w:val="none" w:sz="0" w:space="0" w:color="auto"/>
                <w:left w:val="none" w:sz="0" w:space="0" w:color="auto"/>
                <w:bottom w:val="none" w:sz="0" w:space="0" w:color="auto"/>
                <w:right w:val="none" w:sz="0" w:space="0" w:color="auto"/>
              </w:divBdr>
              <w:divsChild>
                <w:div w:id="1753818017">
                  <w:marLeft w:val="0"/>
                  <w:marRight w:val="0"/>
                  <w:marTop w:val="0"/>
                  <w:marBottom w:val="0"/>
                  <w:divBdr>
                    <w:top w:val="none" w:sz="0" w:space="0" w:color="auto"/>
                    <w:left w:val="none" w:sz="0" w:space="0" w:color="auto"/>
                    <w:bottom w:val="none" w:sz="0" w:space="0" w:color="auto"/>
                    <w:right w:val="none" w:sz="0" w:space="0" w:color="auto"/>
                  </w:divBdr>
                  <w:divsChild>
                    <w:div w:id="10681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01364">
      <w:bodyDiv w:val="1"/>
      <w:marLeft w:val="0"/>
      <w:marRight w:val="0"/>
      <w:marTop w:val="0"/>
      <w:marBottom w:val="0"/>
      <w:divBdr>
        <w:top w:val="none" w:sz="0" w:space="0" w:color="auto"/>
        <w:left w:val="none" w:sz="0" w:space="0" w:color="auto"/>
        <w:bottom w:val="none" w:sz="0" w:space="0" w:color="auto"/>
        <w:right w:val="none" w:sz="0" w:space="0" w:color="auto"/>
      </w:divBdr>
    </w:div>
    <w:div w:id="1384907655">
      <w:bodyDiv w:val="1"/>
      <w:marLeft w:val="0"/>
      <w:marRight w:val="0"/>
      <w:marTop w:val="0"/>
      <w:marBottom w:val="0"/>
      <w:divBdr>
        <w:top w:val="none" w:sz="0" w:space="0" w:color="auto"/>
        <w:left w:val="none" w:sz="0" w:space="0" w:color="auto"/>
        <w:bottom w:val="none" w:sz="0" w:space="0" w:color="auto"/>
        <w:right w:val="none" w:sz="0" w:space="0" w:color="auto"/>
      </w:divBdr>
    </w:div>
    <w:div w:id="1385442403">
      <w:bodyDiv w:val="1"/>
      <w:marLeft w:val="0"/>
      <w:marRight w:val="0"/>
      <w:marTop w:val="0"/>
      <w:marBottom w:val="0"/>
      <w:divBdr>
        <w:top w:val="none" w:sz="0" w:space="0" w:color="auto"/>
        <w:left w:val="none" w:sz="0" w:space="0" w:color="auto"/>
        <w:bottom w:val="none" w:sz="0" w:space="0" w:color="auto"/>
        <w:right w:val="none" w:sz="0" w:space="0" w:color="auto"/>
      </w:divBdr>
    </w:div>
    <w:div w:id="1491746869">
      <w:bodyDiv w:val="1"/>
      <w:marLeft w:val="0"/>
      <w:marRight w:val="0"/>
      <w:marTop w:val="0"/>
      <w:marBottom w:val="0"/>
      <w:divBdr>
        <w:top w:val="none" w:sz="0" w:space="0" w:color="auto"/>
        <w:left w:val="none" w:sz="0" w:space="0" w:color="auto"/>
        <w:bottom w:val="none" w:sz="0" w:space="0" w:color="auto"/>
        <w:right w:val="none" w:sz="0" w:space="0" w:color="auto"/>
      </w:divBdr>
    </w:div>
    <w:div w:id="1514880860">
      <w:bodyDiv w:val="1"/>
      <w:marLeft w:val="0"/>
      <w:marRight w:val="0"/>
      <w:marTop w:val="0"/>
      <w:marBottom w:val="0"/>
      <w:divBdr>
        <w:top w:val="none" w:sz="0" w:space="0" w:color="auto"/>
        <w:left w:val="none" w:sz="0" w:space="0" w:color="auto"/>
        <w:bottom w:val="none" w:sz="0" w:space="0" w:color="auto"/>
        <w:right w:val="none" w:sz="0" w:space="0" w:color="auto"/>
      </w:divBdr>
    </w:div>
    <w:div w:id="1568497208">
      <w:bodyDiv w:val="1"/>
      <w:marLeft w:val="0"/>
      <w:marRight w:val="0"/>
      <w:marTop w:val="0"/>
      <w:marBottom w:val="0"/>
      <w:divBdr>
        <w:top w:val="none" w:sz="0" w:space="0" w:color="auto"/>
        <w:left w:val="none" w:sz="0" w:space="0" w:color="auto"/>
        <w:bottom w:val="none" w:sz="0" w:space="0" w:color="auto"/>
        <w:right w:val="none" w:sz="0" w:space="0" w:color="auto"/>
      </w:divBdr>
    </w:div>
    <w:div w:id="1580945507">
      <w:bodyDiv w:val="1"/>
      <w:marLeft w:val="0"/>
      <w:marRight w:val="0"/>
      <w:marTop w:val="0"/>
      <w:marBottom w:val="0"/>
      <w:divBdr>
        <w:top w:val="none" w:sz="0" w:space="0" w:color="auto"/>
        <w:left w:val="none" w:sz="0" w:space="0" w:color="auto"/>
        <w:bottom w:val="none" w:sz="0" w:space="0" w:color="auto"/>
        <w:right w:val="none" w:sz="0" w:space="0" w:color="auto"/>
      </w:divBdr>
    </w:div>
    <w:div w:id="1582988175">
      <w:bodyDiv w:val="1"/>
      <w:marLeft w:val="0"/>
      <w:marRight w:val="0"/>
      <w:marTop w:val="0"/>
      <w:marBottom w:val="0"/>
      <w:divBdr>
        <w:top w:val="none" w:sz="0" w:space="0" w:color="auto"/>
        <w:left w:val="none" w:sz="0" w:space="0" w:color="auto"/>
        <w:bottom w:val="none" w:sz="0" w:space="0" w:color="auto"/>
        <w:right w:val="none" w:sz="0" w:space="0" w:color="auto"/>
      </w:divBdr>
    </w:div>
    <w:div w:id="1597402223">
      <w:bodyDiv w:val="1"/>
      <w:marLeft w:val="0"/>
      <w:marRight w:val="0"/>
      <w:marTop w:val="0"/>
      <w:marBottom w:val="0"/>
      <w:divBdr>
        <w:top w:val="none" w:sz="0" w:space="0" w:color="auto"/>
        <w:left w:val="none" w:sz="0" w:space="0" w:color="auto"/>
        <w:bottom w:val="none" w:sz="0" w:space="0" w:color="auto"/>
        <w:right w:val="none" w:sz="0" w:space="0" w:color="auto"/>
      </w:divBdr>
    </w:div>
    <w:div w:id="1620992635">
      <w:bodyDiv w:val="1"/>
      <w:marLeft w:val="0"/>
      <w:marRight w:val="0"/>
      <w:marTop w:val="0"/>
      <w:marBottom w:val="0"/>
      <w:divBdr>
        <w:top w:val="none" w:sz="0" w:space="0" w:color="auto"/>
        <w:left w:val="none" w:sz="0" w:space="0" w:color="auto"/>
        <w:bottom w:val="none" w:sz="0" w:space="0" w:color="auto"/>
        <w:right w:val="none" w:sz="0" w:space="0" w:color="auto"/>
      </w:divBdr>
    </w:div>
    <w:div w:id="1685205066">
      <w:bodyDiv w:val="1"/>
      <w:marLeft w:val="0"/>
      <w:marRight w:val="0"/>
      <w:marTop w:val="0"/>
      <w:marBottom w:val="0"/>
      <w:divBdr>
        <w:top w:val="none" w:sz="0" w:space="0" w:color="auto"/>
        <w:left w:val="none" w:sz="0" w:space="0" w:color="auto"/>
        <w:bottom w:val="none" w:sz="0" w:space="0" w:color="auto"/>
        <w:right w:val="none" w:sz="0" w:space="0" w:color="auto"/>
      </w:divBdr>
    </w:div>
    <w:div w:id="1691561111">
      <w:bodyDiv w:val="1"/>
      <w:marLeft w:val="0"/>
      <w:marRight w:val="0"/>
      <w:marTop w:val="0"/>
      <w:marBottom w:val="0"/>
      <w:divBdr>
        <w:top w:val="none" w:sz="0" w:space="0" w:color="auto"/>
        <w:left w:val="none" w:sz="0" w:space="0" w:color="auto"/>
        <w:bottom w:val="none" w:sz="0" w:space="0" w:color="auto"/>
        <w:right w:val="none" w:sz="0" w:space="0" w:color="auto"/>
      </w:divBdr>
    </w:div>
    <w:div w:id="1702196692">
      <w:bodyDiv w:val="1"/>
      <w:marLeft w:val="0"/>
      <w:marRight w:val="0"/>
      <w:marTop w:val="0"/>
      <w:marBottom w:val="0"/>
      <w:divBdr>
        <w:top w:val="none" w:sz="0" w:space="0" w:color="auto"/>
        <w:left w:val="none" w:sz="0" w:space="0" w:color="auto"/>
        <w:bottom w:val="none" w:sz="0" w:space="0" w:color="auto"/>
        <w:right w:val="none" w:sz="0" w:space="0" w:color="auto"/>
      </w:divBdr>
    </w:div>
    <w:div w:id="1711412691">
      <w:bodyDiv w:val="1"/>
      <w:marLeft w:val="0"/>
      <w:marRight w:val="0"/>
      <w:marTop w:val="0"/>
      <w:marBottom w:val="0"/>
      <w:divBdr>
        <w:top w:val="none" w:sz="0" w:space="0" w:color="auto"/>
        <w:left w:val="none" w:sz="0" w:space="0" w:color="auto"/>
        <w:bottom w:val="none" w:sz="0" w:space="0" w:color="auto"/>
        <w:right w:val="none" w:sz="0" w:space="0" w:color="auto"/>
      </w:divBdr>
      <w:divsChild>
        <w:div w:id="894850223">
          <w:marLeft w:val="0"/>
          <w:marRight w:val="0"/>
          <w:marTop w:val="0"/>
          <w:marBottom w:val="0"/>
          <w:divBdr>
            <w:top w:val="none" w:sz="0" w:space="0" w:color="auto"/>
            <w:left w:val="none" w:sz="0" w:space="0" w:color="auto"/>
            <w:bottom w:val="none" w:sz="0" w:space="0" w:color="auto"/>
            <w:right w:val="none" w:sz="0" w:space="0" w:color="auto"/>
          </w:divBdr>
          <w:divsChild>
            <w:div w:id="78795650">
              <w:marLeft w:val="0"/>
              <w:marRight w:val="0"/>
              <w:marTop w:val="0"/>
              <w:marBottom w:val="0"/>
              <w:divBdr>
                <w:top w:val="none" w:sz="0" w:space="0" w:color="auto"/>
                <w:left w:val="none" w:sz="0" w:space="0" w:color="auto"/>
                <w:bottom w:val="none" w:sz="0" w:space="0" w:color="auto"/>
                <w:right w:val="none" w:sz="0" w:space="0" w:color="auto"/>
              </w:divBdr>
              <w:divsChild>
                <w:div w:id="2046639098">
                  <w:marLeft w:val="0"/>
                  <w:marRight w:val="0"/>
                  <w:marTop w:val="0"/>
                  <w:marBottom w:val="0"/>
                  <w:divBdr>
                    <w:top w:val="none" w:sz="0" w:space="0" w:color="auto"/>
                    <w:left w:val="none" w:sz="0" w:space="0" w:color="auto"/>
                    <w:bottom w:val="none" w:sz="0" w:space="0" w:color="auto"/>
                    <w:right w:val="none" w:sz="0" w:space="0" w:color="auto"/>
                  </w:divBdr>
                  <w:divsChild>
                    <w:div w:id="1143884264">
                      <w:marLeft w:val="0"/>
                      <w:marRight w:val="0"/>
                      <w:marTop w:val="0"/>
                      <w:marBottom w:val="0"/>
                      <w:divBdr>
                        <w:top w:val="none" w:sz="0" w:space="0" w:color="auto"/>
                        <w:left w:val="none" w:sz="0" w:space="0" w:color="auto"/>
                        <w:bottom w:val="none" w:sz="0" w:space="0" w:color="auto"/>
                        <w:right w:val="none" w:sz="0" w:space="0" w:color="auto"/>
                      </w:divBdr>
                      <w:divsChild>
                        <w:div w:id="306085038">
                          <w:marLeft w:val="0"/>
                          <w:marRight w:val="0"/>
                          <w:marTop w:val="0"/>
                          <w:marBottom w:val="0"/>
                          <w:divBdr>
                            <w:top w:val="none" w:sz="0" w:space="0" w:color="auto"/>
                            <w:left w:val="none" w:sz="0" w:space="0" w:color="auto"/>
                            <w:bottom w:val="none" w:sz="0" w:space="0" w:color="auto"/>
                            <w:right w:val="none" w:sz="0" w:space="0" w:color="auto"/>
                          </w:divBdr>
                          <w:divsChild>
                            <w:div w:id="1284121112">
                              <w:marLeft w:val="0"/>
                              <w:marRight w:val="0"/>
                              <w:marTop w:val="0"/>
                              <w:marBottom w:val="0"/>
                              <w:divBdr>
                                <w:top w:val="none" w:sz="0" w:space="0" w:color="auto"/>
                                <w:left w:val="none" w:sz="0" w:space="0" w:color="auto"/>
                                <w:bottom w:val="none" w:sz="0" w:space="0" w:color="auto"/>
                                <w:right w:val="none" w:sz="0" w:space="0" w:color="auto"/>
                              </w:divBdr>
                              <w:divsChild>
                                <w:div w:id="553977435">
                                  <w:marLeft w:val="0"/>
                                  <w:marRight w:val="0"/>
                                  <w:marTop w:val="0"/>
                                  <w:marBottom w:val="0"/>
                                  <w:divBdr>
                                    <w:top w:val="none" w:sz="0" w:space="0" w:color="auto"/>
                                    <w:left w:val="none" w:sz="0" w:space="0" w:color="auto"/>
                                    <w:bottom w:val="none" w:sz="0" w:space="0" w:color="auto"/>
                                    <w:right w:val="none" w:sz="0" w:space="0" w:color="auto"/>
                                  </w:divBdr>
                                  <w:divsChild>
                                    <w:div w:id="1854612553">
                                      <w:marLeft w:val="0"/>
                                      <w:marRight w:val="0"/>
                                      <w:marTop w:val="0"/>
                                      <w:marBottom w:val="0"/>
                                      <w:divBdr>
                                        <w:top w:val="none" w:sz="0" w:space="0" w:color="auto"/>
                                        <w:left w:val="none" w:sz="0" w:space="0" w:color="auto"/>
                                        <w:bottom w:val="none" w:sz="0" w:space="0" w:color="auto"/>
                                        <w:right w:val="none" w:sz="0" w:space="0" w:color="auto"/>
                                      </w:divBdr>
                                      <w:divsChild>
                                        <w:div w:id="37365298">
                                          <w:marLeft w:val="0"/>
                                          <w:marRight w:val="0"/>
                                          <w:marTop w:val="0"/>
                                          <w:marBottom w:val="0"/>
                                          <w:divBdr>
                                            <w:top w:val="none" w:sz="0" w:space="0" w:color="auto"/>
                                            <w:left w:val="none" w:sz="0" w:space="0" w:color="auto"/>
                                            <w:bottom w:val="none" w:sz="0" w:space="0" w:color="auto"/>
                                            <w:right w:val="none" w:sz="0" w:space="0" w:color="auto"/>
                                          </w:divBdr>
                                          <w:divsChild>
                                            <w:div w:id="76369949">
                                              <w:marLeft w:val="0"/>
                                              <w:marRight w:val="0"/>
                                              <w:marTop w:val="0"/>
                                              <w:marBottom w:val="0"/>
                                              <w:divBdr>
                                                <w:top w:val="none" w:sz="0" w:space="0" w:color="auto"/>
                                                <w:left w:val="none" w:sz="0" w:space="0" w:color="auto"/>
                                                <w:bottom w:val="none" w:sz="0" w:space="0" w:color="auto"/>
                                                <w:right w:val="none" w:sz="0" w:space="0" w:color="auto"/>
                                              </w:divBdr>
                                              <w:divsChild>
                                                <w:div w:id="511795894">
                                                  <w:marLeft w:val="0"/>
                                                  <w:marRight w:val="0"/>
                                                  <w:marTop w:val="0"/>
                                                  <w:marBottom w:val="525"/>
                                                  <w:divBdr>
                                                    <w:top w:val="none" w:sz="0" w:space="0" w:color="auto"/>
                                                    <w:left w:val="none" w:sz="0" w:space="0" w:color="auto"/>
                                                    <w:bottom w:val="none" w:sz="0" w:space="0" w:color="auto"/>
                                                    <w:right w:val="none" w:sz="0" w:space="0" w:color="auto"/>
                                                  </w:divBdr>
                                                  <w:divsChild>
                                                    <w:div w:id="524909601">
                                                      <w:marLeft w:val="0"/>
                                                      <w:marRight w:val="0"/>
                                                      <w:marTop w:val="0"/>
                                                      <w:marBottom w:val="0"/>
                                                      <w:divBdr>
                                                        <w:top w:val="none" w:sz="0" w:space="0" w:color="auto"/>
                                                        <w:left w:val="none" w:sz="0" w:space="0" w:color="auto"/>
                                                        <w:bottom w:val="none" w:sz="0" w:space="0" w:color="auto"/>
                                                        <w:right w:val="none" w:sz="0" w:space="0" w:color="auto"/>
                                                      </w:divBdr>
                                                      <w:divsChild>
                                                        <w:div w:id="1597984778">
                                                          <w:marLeft w:val="0"/>
                                                          <w:marRight w:val="0"/>
                                                          <w:marTop w:val="0"/>
                                                          <w:marBottom w:val="525"/>
                                                          <w:divBdr>
                                                            <w:top w:val="none" w:sz="0" w:space="0" w:color="auto"/>
                                                            <w:left w:val="none" w:sz="0" w:space="0" w:color="auto"/>
                                                            <w:bottom w:val="none" w:sz="0" w:space="0" w:color="auto"/>
                                                            <w:right w:val="none" w:sz="0" w:space="0" w:color="auto"/>
                                                          </w:divBdr>
                                                          <w:divsChild>
                                                            <w:div w:id="870535263">
                                                              <w:marLeft w:val="0"/>
                                                              <w:marRight w:val="0"/>
                                                              <w:marTop w:val="0"/>
                                                              <w:marBottom w:val="0"/>
                                                              <w:divBdr>
                                                                <w:top w:val="none" w:sz="0" w:space="0" w:color="auto"/>
                                                                <w:left w:val="none" w:sz="0" w:space="0" w:color="auto"/>
                                                                <w:bottom w:val="none" w:sz="0" w:space="0" w:color="auto"/>
                                                                <w:right w:val="none" w:sz="0" w:space="0" w:color="auto"/>
                                                              </w:divBdr>
                                                              <w:divsChild>
                                                                <w:div w:id="9706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0617549">
      <w:bodyDiv w:val="1"/>
      <w:marLeft w:val="0"/>
      <w:marRight w:val="0"/>
      <w:marTop w:val="0"/>
      <w:marBottom w:val="0"/>
      <w:divBdr>
        <w:top w:val="none" w:sz="0" w:space="0" w:color="auto"/>
        <w:left w:val="none" w:sz="0" w:space="0" w:color="auto"/>
        <w:bottom w:val="none" w:sz="0" w:space="0" w:color="auto"/>
        <w:right w:val="none" w:sz="0" w:space="0" w:color="auto"/>
      </w:divBdr>
    </w:div>
    <w:div w:id="1747461480">
      <w:bodyDiv w:val="1"/>
      <w:marLeft w:val="0"/>
      <w:marRight w:val="0"/>
      <w:marTop w:val="0"/>
      <w:marBottom w:val="0"/>
      <w:divBdr>
        <w:top w:val="none" w:sz="0" w:space="0" w:color="auto"/>
        <w:left w:val="none" w:sz="0" w:space="0" w:color="auto"/>
        <w:bottom w:val="none" w:sz="0" w:space="0" w:color="auto"/>
        <w:right w:val="none" w:sz="0" w:space="0" w:color="auto"/>
      </w:divBdr>
    </w:div>
    <w:div w:id="1774127343">
      <w:bodyDiv w:val="1"/>
      <w:marLeft w:val="0"/>
      <w:marRight w:val="0"/>
      <w:marTop w:val="0"/>
      <w:marBottom w:val="0"/>
      <w:divBdr>
        <w:top w:val="none" w:sz="0" w:space="0" w:color="auto"/>
        <w:left w:val="none" w:sz="0" w:space="0" w:color="auto"/>
        <w:bottom w:val="none" w:sz="0" w:space="0" w:color="auto"/>
        <w:right w:val="none" w:sz="0" w:space="0" w:color="auto"/>
      </w:divBdr>
    </w:div>
    <w:div w:id="1776053470">
      <w:bodyDiv w:val="1"/>
      <w:marLeft w:val="0"/>
      <w:marRight w:val="0"/>
      <w:marTop w:val="0"/>
      <w:marBottom w:val="0"/>
      <w:divBdr>
        <w:top w:val="none" w:sz="0" w:space="0" w:color="auto"/>
        <w:left w:val="none" w:sz="0" w:space="0" w:color="auto"/>
        <w:bottom w:val="none" w:sz="0" w:space="0" w:color="auto"/>
        <w:right w:val="none" w:sz="0" w:space="0" w:color="auto"/>
      </w:divBdr>
    </w:div>
    <w:div w:id="1792937698">
      <w:bodyDiv w:val="1"/>
      <w:marLeft w:val="0"/>
      <w:marRight w:val="0"/>
      <w:marTop w:val="0"/>
      <w:marBottom w:val="0"/>
      <w:divBdr>
        <w:top w:val="none" w:sz="0" w:space="0" w:color="auto"/>
        <w:left w:val="none" w:sz="0" w:space="0" w:color="auto"/>
        <w:bottom w:val="none" w:sz="0" w:space="0" w:color="auto"/>
        <w:right w:val="none" w:sz="0" w:space="0" w:color="auto"/>
      </w:divBdr>
    </w:div>
    <w:div w:id="1834224121">
      <w:bodyDiv w:val="1"/>
      <w:marLeft w:val="0"/>
      <w:marRight w:val="0"/>
      <w:marTop w:val="0"/>
      <w:marBottom w:val="0"/>
      <w:divBdr>
        <w:top w:val="none" w:sz="0" w:space="0" w:color="auto"/>
        <w:left w:val="none" w:sz="0" w:space="0" w:color="auto"/>
        <w:bottom w:val="none" w:sz="0" w:space="0" w:color="auto"/>
        <w:right w:val="none" w:sz="0" w:space="0" w:color="auto"/>
      </w:divBdr>
    </w:div>
    <w:div w:id="1861313898">
      <w:bodyDiv w:val="1"/>
      <w:marLeft w:val="0"/>
      <w:marRight w:val="0"/>
      <w:marTop w:val="0"/>
      <w:marBottom w:val="0"/>
      <w:divBdr>
        <w:top w:val="none" w:sz="0" w:space="0" w:color="auto"/>
        <w:left w:val="none" w:sz="0" w:space="0" w:color="auto"/>
        <w:bottom w:val="none" w:sz="0" w:space="0" w:color="auto"/>
        <w:right w:val="none" w:sz="0" w:space="0" w:color="auto"/>
      </w:divBdr>
    </w:div>
    <w:div w:id="1876190906">
      <w:bodyDiv w:val="1"/>
      <w:marLeft w:val="0"/>
      <w:marRight w:val="0"/>
      <w:marTop w:val="0"/>
      <w:marBottom w:val="0"/>
      <w:divBdr>
        <w:top w:val="none" w:sz="0" w:space="0" w:color="auto"/>
        <w:left w:val="none" w:sz="0" w:space="0" w:color="auto"/>
        <w:bottom w:val="none" w:sz="0" w:space="0" w:color="auto"/>
        <w:right w:val="none" w:sz="0" w:space="0" w:color="auto"/>
      </w:divBdr>
    </w:div>
    <w:div w:id="1954549889">
      <w:bodyDiv w:val="1"/>
      <w:marLeft w:val="0"/>
      <w:marRight w:val="0"/>
      <w:marTop w:val="0"/>
      <w:marBottom w:val="0"/>
      <w:divBdr>
        <w:top w:val="none" w:sz="0" w:space="0" w:color="auto"/>
        <w:left w:val="none" w:sz="0" w:space="0" w:color="auto"/>
        <w:bottom w:val="none" w:sz="0" w:space="0" w:color="auto"/>
        <w:right w:val="none" w:sz="0" w:space="0" w:color="auto"/>
      </w:divBdr>
    </w:div>
    <w:div w:id="1983650882">
      <w:bodyDiv w:val="1"/>
      <w:marLeft w:val="0"/>
      <w:marRight w:val="0"/>
      <w:marTop w:val="0"/>
      <w:marBottom w:val="0"/>
      <w:divBdr>
        <w:top w:val="none" w:sz="0" w:space="0" w:color="auto"/>
        <w:left w:val="none" w:sz="0" w:space="0" w:color="auto"/>
        <w:bottom w:val="none" w:sz="0" w:space="0" w:color="auto"/>
        <w:right w:val="none" w:sz="0" w:space="0" w:color="auto"/>
      </w:divBdr>
    </w:div>
    <w:div w:id="1998917509">
      <w:bodyDiv w:val="1"/>
      <w:marLeft w:val="0"/>
      <w:marRight w:val="0"/>
      <w:marTop w:val="0"/>
      <w:marBottom w:val="0"/>
      <w:divBdr>
        <w:top w:val="none" w:sz="0" w:space="0" w:color="auto"/>
        <w:left w:val="none" w:sz="0" w:space="0" w:color="auto"/>
        <w:bottom w:val="none" w:sz="0" w:space="0" w:color="auto"/>
        <w:right w:val="none" w:sz="0" w:space="0" w:color="auto"/>
      </w:divBdr>
    </w:div>
    <w:div w:id="2006932807">
      <w:bodyDiv w:val="1"/>
      <w:marLeft w:val="0"/>
      <w:marRight w:val="0"/>
      <w:marTop w:val="0"/>
      <w:marBottom w:val="0"/>
      <w:divBdr>
        <w:top w:val="none" w:sz="0" w:space="0" w:color="auto"/>
        <w:left w:val="none" w:sz="0" w:space="0" w:color="auto"/>
        <w:bottom w:val="none" w:sz="0" w:space="0" w:color="auto"/>
        <w:right w:val="none" w:sz="0" w:space="0" w:color="auto"/>
      </w:divBdr>
    </w:div>
    <w:div w:id="2012753549">
      <w:bodyDiv w:val="1"/>
      <w:marLeft w:val="0"/>
      <w:marRight w:val="0"/>
      <w:marTop w:val="0"/>
      <w:marBottom w:val="0"/>
      <w:divBdr>
        <w:top w:val="none" w:sz="0" w:space="0" w:color="auto"/>
        <w:left w:val="none" w:sz="0" w:space="0" w:color="auto"/>
        <w:bottom w:val="none" w:sz="0" w:space="0" w:color="auto"/>
        <w:right w:val="none" w:sz="0" w:space="0" w:color="auto"/>
      </w:divBdr>
    </w:div>
    <w:div w:id="2013220463">
      <w:bodyDiv w:val="1"/>
      <w:marLeft w:val="0"/>
      <w:marRight w:val="0"/>
      <w:marTop w:val="0"/>
      <w:marBottom w:val="0"/>
      <w:divBdr>
        <w:top w:val="none" w:sz="0" w:space="0" w:color="auto"/>
        <w:left w:val="none" w:sz="0" w:space="0" w:color="auto"/>
        <w:bottom w:val="none" w:sz="0" w:space="0" w:color="auto"/>
        <w:right w:val="none" w:sz="0" w:space="0" w:color="auto"/>
      </w:divBdr>
    </w:div>
    <w:div w:id="2018843819">
      <w:bodyDiv w:val="1"/>
      <w:marLeft w:val="0"/>
      <w:marRight w:val="0"/>
      <w:marTop w:val="0"/>
      <w:marBottom w:val="0"/>
      <w:divBdr>
        <w:top w:val="none" w:sz="0" w:space="0" w:color="auto"/>
        <w:left w:val="none" w:sz="0" w:space="0" w:color="auto"/>
        <w:bottom w:val="none" w:sz="0" w:space="0" w:color="auto"/>
        <w:right w:val="none" w:sz="0" w:space="0" w:color="auto"/>
      </w:divBdr>
    </w:div>
    <w:div w:id="2024936773">
      <w:bodyDiv w:val="1"/>
      <w:marLeft w:val="0"/>
      <w:marRight w:val="0"/>
      <w:marTop w:val="0"/>
      <w:marBottom w:val="0"/>
      <w:divBdr>
        <w:top w:val="none" w:sz="0" w:space="0" w:color="auto"/>
        <w:left w:val="none" w:sz="0" w:space="0" w:color="auto"/>
        <w:bottom w:val="none" w:sz="0" w:space="0" w:color="auto"/>
        <w:right w:val="none" w:sz="0" w:space="0" w:color="auto"/>
      </w:divBdr>
    </w:div>
    <w:div w:id="2035230854">
      <w:bodyDiv w:val="1"/>
      <w:marLeft w:val="0"/>
      <w:marRight w:val="0"/>
      <w:marTop w:val="0"/>
      <w:marBottom w:val="0"/>
      <w:divBdr>
        <w:top w:val="none" w:sz="0" w:space="0" w:color="auto"/>
        <w:left w:val="none" w:sz="0" w:space="0" w:color="auto"/>
        <w:bottom w:val="none" w:sz="0" w:space="0" w:color="auto"/>
        <w:right w:val="none" w:sz="0" w:space="0" w:color="auto"/>
      </w:divBdr>
    </w:div>
    <w:div w:id="2070222678">
      <w:bodyDiv w:val="1"/>
      <w:marLeft w:val="0"/>
      <w:marRight w:val="0"/>
      <w:marTop w:val="0"/>
      <w:marBottom w:val="0"/>
      <w:divBdr>
        <w:top w:val="none" w:sz="0" w:space="0" w:color="auto"/>
        <w:left w:val="none" w:sz="0" w:space="0" w:color="auto"/>
        <w:bottom w:val="none" w:sz="0" w:space="0" w:color="auto"/>
        <w:right w:val="none" w:sz="0" w:space="0" w:color="auto"/>
      </w:divBdr>
    </w:div>
    <w:div w:id="2118482096">
      <w:bodyDiv w:val="1"/>
      <w:marLeft w:val="0"/>
      <w:marRight w:val="0"/>
      <w:marTop w:val="0"/>
      <w:marBottom w:val="0"/>
      <w:divBdr>
        <w:top w:val="none" w:sz="0" w:space="0" w:color="auto"/>
        <w:left w:val="none" w:sz="0" w:space="0" w:color="auto"/>
        <w:bottom w:val="none" w:sz="0" w:space="0" w:color="auto"/>
        <w:right w:val="none" w:sz="0" w:space="0" w:color="auto"/>
      </w:divBdr>
    </w:div>
    <w:div w:id="214029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54.png"/><Relationship Id="rId21" Type="http://schemas.openxmlformats.org/officeDocument/2006/relationships/chart" Target="charts/chart1.xml"/><Relationship Id="rId42" Type="http://schemas.openxmlformats.org/officeDocument/2006/relationships/hyperlink" Target="https://www.nhs.uk/conditions/pregnancy-and-baby/diarrhoea-vomiting-children/" TargetMode="External"/><Relationship Id="rId47" Type="http://schemas.openxmlformats.org/officeDocument/2006/relationships/image" Target="media/image28.png"/><Relationship Id="rId63" Type="http://schemas.openxmlformats.org/officeDocument/2006/relationships/image" Target="media/image35.emf"/><Relationship Id="rId68" Type="http://schemas.openxmlformats.org/officeDocument/2006/relationships/image" Target="media/image38.png"/><Relationship Id="rId84" Type="http://schemas.openxmlformats.org/officeDocument/2006/relationships/chart" Target="charts/chart21.xml"/><Relationship Id="rId89" Type="http://schemas.openxmlformats.org/officeDocument/2006/relationships/chart" Target="charts/chart25.xml"/><Relationship Id="rId112" Type="http://schemas.openxmlformats.org/officeDocument/2006/relationships/image" Target="media/image50.png"/><Relationship Id="rId16" Type="http://schemas.openxmlformats.org/officeDocument/2006/relationships/image" Target="media/image6.png"/><Relationship Id="rId107" Type="http://schemas.openxmlformats.org/officeDocument/2006/relationships/image" Target="media/image45.png"/><Relationship Id="rId11" Type="http://schemas.openxmlformats.org/officeDocument/2006/relationships/image" Target="media/image1.gif"/><Relationship Id="rId32" Type="http://schemas.openxmlformats.org/officeDocument/2006/relationships/image" Target="media/image18.svg"/><Relationship Id="rId37" Type="http://schemas.openxmlformats.org/officeDocument/2006/relationships/hyperlink" Target="https://www.nuffieldtrust.org.uk/resource/smoking-in-pregnancy" TargetMode="External"/><Relationship Id="rId53" Type="http://schemas.openxmlformats.org/officeDocument/2006/relationships/image" Target="media/image30.png"/><Relationship Id="rId58" Type="http://schemas.openxmlformats.org/officeDocument/2006/relationships/chart" Target="charts/chart7.xml"/><Relationship Id="rId74" Type="http://schemas.openxmlformats.org/officeDocument/2006/relationships/chart" Target="charts/chart12.xml"/><Relationship Id="rId79" Type="http://schemas.openxmlformats.org/officeDocument/2006/relationships/chart" Target="charts/chart17.xml"/><Relationship Id="rId102" Type="http://schemas.openxmlformats.org/officeDocument/2006/relationships/chart" Target="charts/chart37.xml"/><Relationship Id="rId123" Type="http://schemas.openxmlformats.org/officeDocument/2006/relationships/image" Target="media/image58.png"/><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chart" Target="charts/chart30.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3.xml"/><Relationship Id="rId30" Type="http://schemas.openxmlformats.org/officeDocument/2006/relationships/image" Target="cid:image001.png@01D585B8.CA9ED060" TargetMode="External"/><Relationship Id="rId35" Type="http://schemas.openxmlformats.org/officeDocument/2006/relationships/image" Target="media/image21.png"/><Relationship Id="rId43" Type="http://schemas.openxmlformats.org/officeDocument/2006/relationships/hyperlink" Target="https://www.nhs.uk/conditions/sudden-infant-death-syndrome-sids/" TargetMode="External"/><Relationship Id="rId48" Type="http://schemas.openxmlformats.org/officeDocument/2006/relationships/image" Target="media/image29.png"/><Relationship Id="rId56" Type="http://schemas.openxmlformats.org/officeDocument/2006/relationships/chart" Target="charts/chart5.xml"/><Relationship Id="rId64" Type="http://schemas.openxmlformats.org/officeDocument/2006/relationships/package" Target="embeddings/Microsoft_Excel_Worksheet2.xlsx"/><Relationship Id="rId69" Type="http://schemas.openxmlformats.org/officeDocument/2006/relationships/image" Target="media/image39.png"/><Relationship Id="rId77" Type="http://schemas.openxmlformats.org/officeDocument/2006/relationships/chart" Target="charts/chart15.xml"/><Relationship Id="rId100" Type="http://schemas.openxmlformats.org/officeDocument/2006/relationships/chart" Target="charts/chart35.xml"/><Relationship Id="rId105" Type="http://schemas.openxmlformats.org/officeDocument/2006/relationships/image" Target="media/image43.emf"/><Relationship Id="rId113" Type="http://schemas.openxmlformats.org/officeDocument/2006/relationships/image" Target="media/image51.png"/><Relationship Id="rId118" Type="http://schemas.openxmlformats.org/officeDocument/2006/relationships/image" Target="media/image55.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vk.ovg.ox.ac.uk/vk/rubella" TargetMode="External"/><Relationship Id="rId72" Type="http://schemas.openxmlformats.org/officeDocument/2006/relationships/chart" Target="charts/chart10.xml"/><Relationship Id="rId80" Type="http://schemas.openxmlformats.org/officeDocument/2006/relationships/chart" Target="charts/chart18.xml"/><Relationship Id="rId85" Type="http://schemas.openxmlformats.org/officeDocument/2006/relationships/chart" Target="charts/chart22.xml"/><Relationship Id="rId93" Type="http://schemas.openxmlformats.org/officeDocument/2006/relationships/chart" Target="charts/chart28.xml"/><Relationship Id="rId98" Type="http://schemas.openxmlformats.org/officeDocument/2006/relationships/chart" Target="charts/chart33.xml"/><Relationship Id="rId121" Type="http://schemas.openxmlformats.org/officeDocument/2006/relationships/image" Target="cid:image002.jpg@01D85FBA.E257568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chart" Target="charts/chart8.xml"/><Relationship Id="rId67" Type="http://schemas.openxmlformats.org/officeDocument/2006/relationships/image" Target="media/image37.png"/><Relationship Id="rId103" Type="http://schemas.openxmlformats.org/officeDocument/2006/relationships/chart" Target="charts/chart38.xml"/><Relationship Id="rId108" Type="http://schemas.openxmlformats.org/officeDocument/2006/relationships/image" Target="media/image46.png"/><Relationship Id="rId116" Type="http://schemas.openxmlformats.org/officeDocument/2006/relationships/image" Target="cid:image001.jpg@01D85FBA.E2575680" TargetMode="External"/><Relationship Id="rId124" Type="http://schemas.openxmlformats.org/officeDocument/2006/relationships/image" Target="media/image59.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chart" Target="charts/chart4.xml"/><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chart" Target="charts/chart13.xml"/><Relationship Id="rId83" Type="http://schemas.openxmlformats.org/officeDocument/2006/relationships/chart" Target="charts/chart20.xml"/><Relationship Id="rId88" Type="http://schemas.openxmlformats.org/officeDocument/2006/relationships/chart" Target="charts/chart24.xml"/><Relationship Id="rId91" Type="http://schemas.openxmlformats.org/officeDocument/2006/relationships/chart" Target="charts/chart26.xml"/><Relationship Id="rId96" Type="http://schemas.openxmlformats.org/officeDocument/2006/relationships/chart" Target="charts/chart31.xml"/><Relationship Id="rId111"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svg"/><Relationship Id="rId49" Type="http://schemas.openxmlformats.org/officeDocument/2006/relationships/hyperlink" Target="https://vk.ovg.ox.ac.uk/vk/measles" TargetMode="External"/><Relationship Id="rId57" Type="http://schemas.openxmlformats.org/officeDocument/2006/relationships/chart" Target="charts/chart6.xml"/><Relationship Id="rId106" Type="http://schemas.openxmlformats.org/officeDocument/2006/relationships/image" Target="media/image44.png"/><Relationship Id="rId114" Type="http://schemas.openxmlformats.org/officeDocument/2006/relationships/image" Target="media/image52.png"/><Relationship Id="rId119" Type="http://schemas.openxmlformats.org/officeDocument/2006/relationships/image" Target="cid:image001.png@01D85FBF.BA341F80"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nhs.uk/conditions/obesity/" TargetMode="External"/><Relationship Id="rId52" Type="http://schemas.openxmlformats.org/officeDocument/2006/relationships/hyperlink" Target="https://www.newscientist.com/article/dn27481-measles-leaves-you-vulnerable-to-a-host-of-deadly-diseases/" TargetMode="External"/><Relationship Id="rId60" Type="http://schemas.openxmlformats.org/officeDocument/2006/relationships/image" Target="media/image32.png"/><Relationship Id="rId65" Type="http://schemas.openxmlformats.org/officeDocument/2006/relationships/image" Target="media/image36.emf"/><Relationship Id="rId73" Type="http://schemas.openxmlformats.org/officeDocument/2006/relationships/chart" Target="charts/chart11.xml"/><Relationship Id="rId78" Type="http://schemas.openxmlformats.org/officeDocument/2006/relationships/chart" Target="charts/chart16.xml"/><Relationship Id="rId81" Type="http://schemas.openxmlformats.org/officeDocument/2006/relationships/chart" Target="charts/chart19.xml"/><Relationship Id="rId86" Type="http://schemas.openxmlformats.org/officeDocument/2006/relationships/image" Target="media/image41.png"/><Relationship Id="rId94" Type="http://schemas.openxmlformats.org/officeDocument/2006/relationships/chart" Target="charts/chart29.xml"/><Relationship Id="rId99" Type="http://schemas.openxmlformats.org/officeDocument/2006/relationships/chart" Target="charts/chart34.xml"/><Relationship Id="rId101" Type="http://schemas.openxmlformats.org/officeDocument/2006/relationships/chart" Target="charts/chart36.xml"/><Relationship Id="rId122"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47.png"/><Relationship Id="rId34" Type="http://schemas.openxmlformats.org/officeDocument/2006/relationships/image" Target="media/image20.svg"/><Relationship Id="rId50" Type="http://schemas.openxmlformats.org/officeDocument/2006/relationships/hyperlink" Target="https://vk.ovg.ox.ac.uk/vk/mumps" TargetMode="External"/><Relationship Id="rId55" Type="http://schemas.openxmlformats.org/officeDocument/2006/relationships/image" Target="media/image31.png"/><Relationship Id="rId76" Type="http://schemas.openxmlformats.org/officeDocument/2006/relationships/chart" Target="charts/chart14.xml"/><Relationship Id="rId97" Type="http://schemas.openxmlformats.org/officeDocument/2006/relationships/chart" Target="charts/chart32.xml"/><Relationship Id="rId104" Type="http://schemas.openxmlformats.org/officeDocument/2006/relationships/chart" Target="charts/chart39.xml"/><Relationship Id="rId120" Type="http://schemas.openxmlformats.org/officeDocument/2006/relationships/image" Target="media/image56.jpeg"/><Relationship Id="rId125"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chart" Target="charts/chart9.xml"/><Relationship Id="rId92" Type="http://schemas.openxmlformats.org/officeDocument/2006/relationships/chart" Target="charts/chart27.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hyperlink" Target="https://www.nhs.uk/conditions/cardiovascular-disease/" TargetMode="External"/><Relationship Id="rId66" Type="http://schemas.openxmlformats.org/officeDocument/2006/relationships/package" Target="embeddings/Microsoft_Excel_Worksheet3.xlsx"/><Relationship Id="rId87" Type="http://schemas.openxmlformats.org/officeDocument/2006/relationships/chart" Target="charts/chart23.xml"/><Relationship Id="rId110" Type="http://schemas.openxmlformats.org/officeDocument/2006/relationships/image" Target="media/image48.png"/><Relationship Id="rId115" Type="http://schemas.openxmlformats.org/officeDocument/2006/relationships/image" Target="media/image53.jpeg"/><Relationship Id="rId61" Type="http://schemas.openxmlformats.org/officeDocument/2006/relationships/image" Target="media/image33.png"/><Relationship Id="rId82" Type="http://schemas.openxmlformats.org/officeDocument/2006/relationships/hyperlink" Target="https://assets.publishing.service.gov.uk/government/uploads/system/uploads/attachment_data/file/398815/SEND_Code_of_Practice_January_2015.pdfhttps:/assets.publishing.service.gov.uk/government/uploads/system/uploads/attachment_data/file/398815/SEND_Code_of_Practice_January_2015.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or-C-NAS-02\PCT_SHARE$\RESEARCH&amp;KM\Projects\JSNA\0-5%20JSNA%202019\Early%20Help%20Episodes%20Revised%20data%20-%200-5%202018-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or-C-NAS-02\PCT_SHARE$\RESEARCH&amp;KM\Projects\JSNA\0-5%20JSNA%202019\Early%20Help%20Episodes%20Revised%20data%20-%200-5%202018-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or-C-NAS-02\PCT_SHARE$\RESEARCH&amp;KM\Projects\JSNA\0-5%20JSNA%202019\Early%20Help%20Episodes%20Revised%20data%20-%200-5%202018-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or-C-NAS-02\PCT_SHARE$\RESEARCH&amp;KM\Projects\JSNA\0-5%20JSNA%202019\LAC\Revised%20Early%20Years%20Transformation%20Academy%20CIN%20CP%20LAC%20Data%20from%20Lee%20%20Wilkin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or-C-NAS-02\PCT_SHARE$\RESEARCH&amp;KM\Projects\JSNA\0-5%20JSNA%202019\LAC\Revised%20Early%20Years%20Transformation%20Academy%20CIN%20CP%20LAC%20Data%20from%20Lee%20%20Wilkin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or-C-NAS-02\PCT_SHARE$\RESEARCH&amp;KM\Projects\JSNA\0-5%20JSNA%202019\JSNA%20CIN%20LAC%20CP%20Numbers%20reques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or-C-NAS-02\PCT_SHARE$\RESEARCH&amp;KM\Projects\JSNA\0-5%20JSNA%202019\LAC\Revised%20Early%20Years%20Transformation%20Academy%20CIN%20CP%20LAC%20Data%20from%20Lee%20%20Wilkin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or-C-NAS-02\PCT_SHARE$\RESEARCH&amp;KM\Projects\JSNA\0-5%20JSNA%202019\LAC\Revised%20Early%20Years%20Transformation%20Academy%20CIN%20CP%20LAC%20Data%20from%20Lee%20%20Wilkin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or-C-NAS-02\PCT_SHARE$\RESEARCH&amp;KM\Projects\JSNA\0-5%20JSNA%202019\Child%20death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or-C-NAS-02\PCT_SHARE$\RESEARCH&amp;KM\Projects\JSNA\0-5%20JSNA%202019\Child%20death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SEN%20EHCP.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SEN%20EHCP.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SEN%20EHCP.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SEN%20EHCP.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SEN%20EHCP.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Inclusion%20support%20data%20booklet.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5.xlsx"/></Relationships>
</file>

<file path=word/charts/_rels/chart37.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20190918_1154%20MS%20ASQ%20P-Marsh.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20190918_1154%20MS%20ASQ%20P-Marsh.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or-C-NAS-02\PCT_SHARE$\RESEARCH&amp;KM\Projects\JSNA\0-5%20JSNA%202019\inclusion%20Support\20190918_1154%20MS%20ASQ%20P-Marsh.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or-C-NAS-02\PCT_SHARE$\RESEARCH&amp;KM\Projects\JSNA\0-5%20JSNA%202019\School%20Readiness\School%20Readiness%20-%20EYFS%20data%20table%20AB%20edited-Inc%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or-C-NAS-02\PCT_SHARE$\RESEARCH&amp;KM\Projects\JSNA\0-5%20JSNA%202019\School%20Readiness\School%20Readiness%20CI%20Trial%20Ethnicity%20Data-17.01.2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or-C-NAS-02\PCT_SHARE$\RESEARCH&amp;KM\Projects\JSNA\0-5%20JSNA%202019\School%20Readiness\School%20Readiness%20CI%20Trial%20Ethnicity%20Data-17.01.20.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cor-C-NAS-02\PCT_SHARE$\RESEARCH&amp;KM\Projects\JSNA\0-5%20JSNA%202019\School%20Readiness\School%20Readiness%20CI%20Trial%20Ethnicity%20Data-17.01.20.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oleObject" Target="file:///\\cor-C-NAS-02\PCT_SHARE$\RESEARCH&amp;KM\Projects\JSNA\0-5%20JSNA%202019\School%20Readiness\School%20Readiness%20-%20EYFS%20data%20table%20AB%20edited-Inc%202019-Recovered%2017.01.20.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oleObject" Target="file:///\\cor-C-NAS-02\PCT_SHARE$\RESEARCH&amp;KM\Projects\JSNA\0-5%20JSNA%202019\Early%20Years%20Transformation%20Academy%20CIN%20CP%20LAC%20Data%20from%20Lee%20%20Wilkin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96080539343963"/>
          <c:y val="0.11649956179981386"/>
          <c:w val="0.76337879477278658"/>
          <c:h val="0.72903684278464331"/>
        </c:manualLayout>
      </c:layout>
      <c:lineChart>
        <c:grouping val="standard"/>
        <c:varyColors val="0"/>
        <c:ser>
          <c:idx val="1"/>
          <c:order val="0"/>
          <c:tx>
            <c:strRef>
              <c:f>Sheet1!$B$17</c:f>
              <c:strCache>
                <c:ptCount val="1"/>
                <c:pt idx="0">
                  <c:v>England</c:v>
                </c:pt>
              </c:strCache>
            </c:strRef>
          </c:tx>
          <c:spPr>
            <a:ln w="28575" cap="rnd">
              <a:solidFill>
                <a:schemeClr val="accent4"/>
              </a:solidFill>
              <a:round/>
            </a:ln>
            <a:effectLst/>
          </c:spPr>
          <c:marker>
            <c:symbol val="none"/>
          </c:marker>
          <c:cat>
            <c:numRef>
              <c:f>Sheet1!$I$16:$AD$16</c:f>
              <c:numCache>
                <c:formatCode>General</c:formatCode>
                <c:ptCount val="22"/>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numCache>
            </c:numRef>
          </c:cat>
          <c:val>
            <c:numRef>
              <c:f>Sheet1!$I$17:$AD$17</c:f>
              <c:numCache>
                <c:formatCode>0.0%</c:formatCode>
                <c:ptCount val="22"/>
                <c:pt idx="0">
                  <c:v>-7.5620084694494848E-4</c:v>
                </c:pt>
                <c:pt idx="1">
                  <c:v>-1.6649008627213904E-3</c:v>
                </c:pt>
                <c:pt idx="2">
                  <c:v>-1.6676773802304771E-3</c:v>
                </c:pt>
                <c:pt idx="3">
                  <c:v>-1.3667425968108993E-3</c:v>
                </c:pt>
                <c:pt idx="4">
                  <c:v>-1.6727493917275285E-3</c:v>
                </c:pt>
                <c:pt idx="5">
                  <c:v>-2.4371667936024717E-3</c:v>
                </c:pt>
                <c:pt idx="6">
                  <c:v>-2.7485112230874248E-3</c:v>
                </c:pt>
                <c:pt idx="7">
                  <c:v>-3.3685499923442742E-3</c:v>
                </c:pt>
                <c:pt idx="8">
                  <c:v>-3.8408357658626519E-3</c:v>
                </c:pt>
                <c:pt idx="9">
                  <c:v>-3.238741517581775E-3</c:v>
                </c:pt>
                <c:pt idx="10">
                  <c:v>-2.4756305121459215E-3</c:v>
                </c:pt>
                <c:pt idx="11">
                  <c:v>-1.3959981386692894E-3</c:v>
                </c:pt>
                <c:pt idx="12">
                  <c:v>-3.1065548306917024E-4</c:v>
                </c:pt>
                <c:pt idx="13">
                  <c:v>1.0876320696083465E-3</c:v>
                </c:pt>
                <c:pt idx="14">
                  <c:v>2.6385224274407038E-3</c:v>
                </c:pt>
                <c:pt idx="15">
                  <c:v>4.1795665634675625E-3</c:v>
                </c:pt>
                <c:pt idx="16">
                  <c:v>5.5495606597809602E-3</c:v>
                </c:pt>
                <c:pt idx="17">
                  <c:v>6.7453625632379142E-3</c:v>
                </c:pt>
                <c:pt idx="18">
                  <c:v>8.3752093802345051E-3</c:v>
                </c:pt>
                <c:pt idx="19">
                  <c:v>8.909694956206549E-3</c:v>
                </c:pt>
                <c:pt idx="20">
                  <c:v>1.0028438856458512E-2</c:v>
                </c:pt>
                <c:pt idx="21">
                  <c:v>9.0397154712507748E-3</c:v>
                </c:pt>
              </c:numCache>
            </c:numRef>
          </c:val>
          <c:smooth val="0"/>
          <c:extLst>
            <c:ext xmlns:c16="http://schemas.microsoft.com/office/drawing/2014/chart" uri="{C3380CC4-5D6E-409C-BE32-E72D297353CC}">
              <c16:uniqueId val="{00000000-3460-4325-B00D-145CBF16A481}"/>
            </c:ext>
          </c:extLst>
        </c:ser>
        <c:ser>
          <c:idx val="3"/>
          <c:order val="1"/>
          <c:tx>
            <c:strRef>
              <c:f>Sheet1!$B$19</c:f>
              <c:strCache>
                <c:ptCount val="1"/>
                <c:pt idx="0">
                  <c:v>West Midlands (Met County)</c:v>
                </c:pt>
              </c:strCache>
            </c:strRef>
          </c:tx>
          <c:spPr>
            <a:ln w="28575" cap="rnd">
              <a:solidFill>
                <a:schemeClr val="accent1"/>
              </a:solidFill>
              <a:round/>
            </a:ln>
            <a:effectLst/>
          </c:spPr>
          <c:marker>
            <c:symbol val="none"/>
          </c:marker>
          <c:cat>
            <c:numRef>
              <c:f>Sheet1!$I$16:$AD$16</c:f>
              <c:numCache>
                <c:formatCode>General</c:formatCode>
                <c:ptCount val="22"/>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numCache>
            </c:numRef>
          </c:cat>
          <c:val>
            <c:numRef>
              <c:f>Sheet1!$I$19:$AD$19</c:f>
              <c:numCache>
                <c:formatCode>0.0%</c:formatCode>
                <c:ptCount val="22"/>
                <c:pt idx="0">
                  <c:v>2.7478942730352991E-3</c:v>
                </c:pt>
                <c:pt idx="1">
                  <c:v>4.3476841604725164E-3</c:v>
                </c:pt>
                <c:pt idx="2">
                  <c:v>5.2793870316112041E-3</c:v>
                </c:pt>
                <c:pt idx="3">
                  <c:v>3.3958419127396427E-3</c:v>
                </c:pt>
                <c:pt idx="4">
                  <c:v>2.6422261963102191E-3</c:v>
                </c:pt>
                <c:pt idx="5">
                  <c:v>1.7942093542503135E-3</c:v>
                </c:pt>
                <c:pt idx="6">
                  <c:v>1.534532269994001E-3</c:v>
                </c:pt>
                <c:pt idx="7">
                  <c:v>5.9295609380169564E-4</c:v>
                </c:pt>
                <c:pt idx="8">
                  <c:v>-3.8459330512028784E-4</c:v>
                </c:pt>
                <c:pt idx="9">
                  <c:v>9.2579353887819991E-5</c:v>
                </c:pt>
                <c:pt idx="10">
                  <c:v>1.1123037770261182E-3</c:v>
                </c:pt>
                <c:pt idx="11">
                  <c:v>1.9643200659163174E-3</c:v>
                </c:pt>
                <c:pt idx="12">
                  <c:v>2.9855057761562125E-3</c:v>
                </c:pt>
                <c:pt idx="13">
                  <c:v>4.0666197347099479E-3</c:v>
                </c:pt>
                <c:pt idx="14">
                  <c:v>5.1996596652715008E-3</c:v>
                </c:pt>
                <c:pt idx="15">
                  <c:v>6.1794958234186311E-3</c:v>
                </c:pt>
                <c:pt idx="16">
                  <c:v>7.0512514370464283E-3</c:v>
                </c:pt>
                <c:pt idx="17">
                  <c:v>7.6835996448467976E-3</c:v>
                </c:pt>
                <c:pt idx="18">
                  <c:v>8.6046213353614554E-3</c:v>
                </c:pt>
                <c:pt idx="19">
                  <c:v>8.8843559727380152E-3</c:v>
                </c:pt>
                <c:pt idx="20">
                  <c:v>9.4435073095717071E-3</c:v>
                </c:pt>
                <c:pt idx="21">
                  <c:v>8.3333236600688001E-3</c:v>
                </c:pt>
              </c:numCache>
            </c:numRef>
          </c:val>
          <c:smooth val="0"/>
          <c:extLst>
            <c:ext xmlns:c16="http://schemas.microsoft.com/office/drawing/2014/chart" uri="{C3380CC4-5D6E-409C-BE32-E72D297353CC}">
              <c16:uniqueId val="{00000001-3460-4325-B00D-145CBF16A481}"/>
            </c:ext>
          </c:extLst>
        </c:ser>
        <c:ser>
          <c:idx val="4"/>
          <c:order val="2"/>
          <c:tx>
            <c:strRef>
              <c:f>Sheet1!$B$20</c:f>
              <c:strCache>
                <c:ptCount val="1"/>
                <c:pt idx="0">
                  <c:v>Sandwell</c:v>
                </c:pt>
              </c:strCache>
            </c:strRef>
          </c:tx>
          <c:spPr>
            <a:ln w="28575" cap="rnd">
              <a:solidFill>
                <a:schemeClr val="accent6"/>
              </a:solidFill>
              <a:round/>
            </a:ln>
            <a:effectLst/>
          </c:spPr>
          <c:marker>
            <c:symbol val="none"/>
          </c:marker>
          <c:cat>
            <c:numRef>
              <c:f>Sheet1!$I$16:$AD$16</c:f>
              <c:numCache>
                <c:formatCode>General</c:formatCode>
                <c:ptCount val="22"/>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numCache>
            </c:numRef>
          </c:cat>
          <c:val>
            <c:numRef>
              <c:f>Sheet1!$I$20:$AD$20</c:f>
              <c:numCache>
                <c:formatCode>0.0%</c:formatCode>
                <c:ptCount val="22"/>
                <c:pt idx="0">
                  <c:v>1.8639914278408768E-3</c:v>
                </c:pt>
                <c:pt idx="1">
                  <c:v>-1.6117212329731993E-3</c:v>
                </c:pt>
                <c:pt idx="2">
                  <c:v>-4.7467398527647597E-3</c:v>
                </c:pt>
                <c:pt idx="3">
                  <c:v>-1.3300063302665254E-3</c:v>
                </c:pt>
                <c:pt idx="4">
                  <c:v>-1.4379290695465327E-3</c:v>
                </c:pt>
                <c:pt idx="5">
                  <c:v>-2.4847820685257007E-4</c:v>
                </c:pt>
                <c:pt idx="6">
                  <c:v>-4.7120393802121551E-4</c:v>
                </c:pt>
                <c:pt idx="7">
                  <c:v>-7.0485486189952331E-4</c:v>
                </c:pt>
                <c:pt idx="8">
                  <c:v>-2.4186608282092837E-4</c:v>
                </c:pt>
                <c:pt idx="9">
                  <c:v>1.0654698911666011E-3</c:v>
                </c:pt>
                <c:pt idx="10">
                  <c:v>2.6824831371391063E-3</c:v>
                </c:pt>
                <c:pt idx="11">
                  <c:v>3.7435202670968548E-3</c:v>
                </c:pt>
                <c:pt idx="12">
                  <c:v>5.0120806488948913E-3</c:v>
                </c:pt>
                <c:pt idx="13">
                  <c:v>6.1335338776617367E-3</c:v>
                </c:pt>
                <c:pt idx="14">
                  <c:v>6.9211880991728609E-3</c:v>
                </c:pt>
                <c:pt idx="15">
                  <c:v>7.2979484019340011E-3</c:v>
                </c:pt>
                <c:pt idx="16">
                  <c:v>7.4825727304932525E-3</c:v>
                </c:pt>
                <c:pt idx="17">
                  <c:v>7.7438922356090891E-3</c:v>
                </c:pt>
                <c:pt idx="18">
                  <c:v>8.3357168446654643E-3</c:v>
                </c:pt>
                <c:pt idx="19">
                  <c:v>8.3479107168367619E-3</c:v>
                </c:pt>
                <c:pt idx="20">
                  <c:v>8.6697331610914065E-3</c:v>
                </c:pt>
                <c:pt idx="21">
                  <c:v>7.4729736156915402E-3</c:v>
                </c:pt>
              </c:numCache>
            </c:numRef>
          </c:val>
          <c:smooth val="0"/>
          <c:extLst>
            <c:ext xmlns:c16="http://schemas.microsoft.com/office/drawing/2014/chart" uri="{C3380CC4-5D6E-409C-BE32-E72D297353CC}">
              <c16:uniqueId val="{00000002-3460-4325-B00D-145CBF16A481}"/>
            </c:ext>
          </c:extLst>
        </c:ser>
        <c:dLbls>
          <c:showLegendKey val="0"/>
          <c:showVal val="0"/>
          <c:showCatName val="0"/>
          <c:showSerName val="0"/>
          <c:showPercent val="0"/>
          <c:showBubbleSize val="0"/>
        </c:dLbls>
        <c:smooth val="0"/>
        <c:axId val="537493568"/>
        <c:axId val="537494224"/>
      </c:lineChart>
      <c:catAx>
        <c:axId val="537493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37494224"/>
        <c:crosses val="autoZero"/>
        <c:auto val="1"/>
        <c:lblAlgn val="ctr"/>
        <c:lblOffset val="100"/>
        <c:noMultiLvlLbl val="0"/>
      </c:catAx>
      <c:valAx>
        <c:axId val="53749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 change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537493568"/>
        <c:crosses val="autoZero"/>
        <c:crossBetween val="between"/>
      </c:valAx>
      <c:spPr>
        <a:noFill/>
        <a:ln>
          <a:noFill/>
        </a:ln>
        <a:effectLst/>
      </c:spPr>
    </c:plotArea>
    <c:legend>
      <c:legendPos val="r"/>
      <c:layout>
        <c:manualLayout>
          <c:xMode val="edge"/>
          <c:yMode val="edge"/>
          <c:x val="0.19818777680212277"/>
          <c:y val="0.1545032712153431"/>
          <c:w val="0.41830130465867271"/>
          <c:h val="0.17895823850318968"/>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5737704918032"/>
          <c:y val="0.15088478880010489"/>
          <c:w val="0.768947723132969"/>
          <c:h val="0.64550846037862275"/>
        </c:manualLayout>
      </c:layout>
      <c:barChart>
        <c:barDir val="col"/>
        <c:grouping val="clustered"/>
        <c:varyColors val="0"/>
        <c:ser>
          <c:idx val="0"/>
          <c:order val="0"/>
          <c:tx>
            <c:strRef>
              <c:f>Age!$D$1</c:f>
              <c:strCache>
                <c:ptCount val="1"/>
                <c:pt idx="0">
                  <c:v>Rate per 10,000</c:v>
                </c:pt>
              </c:strCache>
            </c:strRef>
          </c:tx>
          <c:spPr>
            <a:solidFill>
              <a:schemeClr val="accent1"/>
            </a:solidFill>
            <a:ln>
              <a:solidFill>
                <a:schemeClr val="accent1">
                  <a:alpha val="98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Age!$A$2:$A$7</c:f>
              <c:strCache>
                <c:ptCount val="6"/>
                <c:pt idx="0">
                  <c:v>Age 0</c:v>
                </c:pt>
                <c:pt idx="1">
                  <c:v>Age 1</c:v>
                </c:pt>
                <c:pt idx="2">
                  <c:v>Age 2</c:v>
                </c:pt>
                <c:pt idx="3">
                  <c:v>Age 3</c:v>
                </c:pt>
                <c:pt idx="4">
                  <c:v>Age 4</c:v>
                </c:pt>
                <c:pt idx="5">
                  <c:v>Age 5</c:v>
                </c:pt>
              </c:strCache>
            </c:strRef>
          </c:cat>
          <c:val>
            <c:numRef>
              <c:f>Age!$D$2:$D$7</c:f>
              <c:numCache>
                <c:formatCode>0.0</c:formatCode>
                <c:ptCount val="6"/>
                <c:pt idx="0">
                  <c:v>438.96047171871589</c:v>
                </c:pt>
                <c:pt idx="1">
                  <c:v>294.85570890840654</c:v>
                </c:pt>
                <c:pt idx="2">
                  <c:v>344.61538461538464</c:v>
                </c:pt>
                <c:pt idx="3">
                  <c:v>355.50935550935549</c:v>
                </c:pt>
                <c:pt idx="4">
                  <c:v>399.91536182818453</c:v>
                </c:pt>
                <c:pt idx="5">
                  <c:v>423.15829967301403</c:v>
                </c:pt>
              </c:numCache>
            </c:numRef>
          </c:val>
          <c:extLst>
            <c:ext xmlns:c16="http://schemas.microsoft.com/office/drawing/2014/chart" uri="{C3380CC4-5D6E-409C-BE32-E72D297353CC}">
              <c16:uniqueId val="{00000000-E2FB-4D22-8F6E-D52965415942}"/>
            </c:ext>
          </c:extLst>
        </c:ser>
        <c:dLbls>
          <c:dLblPos val="outEnd"/>
          <c:showLegendKey val="0"/>
          <c:showVal val="1"/>
          <c:showCatName val="0"/>
          <c:showSerName val="0"/>
          <c:showPercent val="0"/>
          <c:showBubbleSize val="0"/>
        </c:dLbls>
        <c:gapWidth val="75"/>
        <c:axId val="712440784"/>
        <c:axId val="712432584"/>
      </c:barChart>
      <c:catAx>
        <c:axId val="712440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12432584"/>
        <c:crosses val="autoZero"/>
        <c:auto val="1"/>
        <c:lblAlgn val="ctr"/>
        <c:lblOffset val="100"/>
        <c:noMultiLvlLbl val="0"/>
      </c:catAx>
      <c:valAx>
        <c:axId val="712432584"/>
        <c:scaling>
          <c:orientation val="minMax"/>
          <c:max val="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b="0" i="0" baseline="0">
                    <a:effectLst/>
                  </a:rPr>
                  <a:t>Rate per 10,000 population</a:t>
                </a:r>
                <a:endParaRPr lang="en-GB" sz="1200">
                  <a:effectLst/>
                </a:endParaRPr>
              </a:p>
            </c:rich>
          </c:tx>
          <c:layout>
            <c:manualLayout>
              <c:xMode val="edge"/>
              <c:yMode val="edge"/>
              <c:x val="2.8102003642987254E-2"/>
              <c:y val="0.2126491219124898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1244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20693572738739"/>
          <c:y val="0.11624819624819624"/>
          <c:w val="0.7470752916843777"/>
          <c:h val="0.47342900319278275"/>
        </c:manualLayout>
      </c:layout>
      <c:barChart>
        <c:barDir val="col"/>
        <c:grouping val="clustered"/>
        <c:varyColors val="0"/>
        <c:ser>
          <c:idx val="1"/>
          <c:order val="2"/>
          <c:tx>
            <c:strRef>
              <c:f>Ward!$D$1</c:f>
              <c:strCache>
                <c:ptCount val="1"/>
                <c:pt idx="0">
                  <c:v>% 0-5s</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t" anchorCtr="0">
                <a:spAutoFit/>
              </a:bodyPr>
              <a:lstStyle/>
              <a:p>
                <a:pPr algn="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Ward!$A$2:$A$26</c:f>
              <c:strCache>
                <c:ptCount val="25"/>
                <c:pt idx="0">
                  <c:v>Princes End</c:v>
                </c:pt>
                <c:pt idx="1">
                  <c:v>Tipton Green</c:v>
                </c:pt>
                <c:pt idx="2">
                  <c:v>Tividale</c:v>
                </c:pt>
                <c:pt idx="3">
                  <c:v>Friar Park</c:v>
                </c:pt>
                <c:pt idx="4">
                  <c:v>Great Bridge</c:v>
                </c:pt>
                <c:pt idx="5">
                  <c:v>Cradley Heath and Old Hill</c:v>
                </c:pt>
                <c:pt idx="6">
                  <c:v>Greets Green and Lyng</c:v>
                </c:pt>
                <c:pt idx="7">
                  <c:v>Wednesbury South</c:v>
                </c:pt>
                <c:pt idx="8">
                  <c:v>Langley</c:v>
                </c:pt>
                <c:pt idx="9">
                  <c:v>Rowley</c:v>
                </c:pt>
                <c:pt idx="10">
                  <c:v>Bristnall</c:v>
                </c:pt>
                <c:pt idx="11">
                  <c:v>Great Barr with Yew Tree</c:v>
                </c:pt>
                <c:pt idx="12">
                  <c:v>Wednesbury North</c:v>
                </c:pt>
                <c:pt idx="13">
                  <c:v>Soho and Victoria</c:v>
                </c:pt>
                <c:pt idx="14">
                  <c:v>Blackheath</c:v>
                </c:pt>
                <c:pt idx="15">
                  <c:v>Charlemont with Grove Vale</c:v>
                </c:pt>
                <c:pt idx="16">
                  <c:v>Smethwick</c:v>
                </c:pt>
                <c:pt idx="17">
                  <c:v>St. Pauls</c:v>
                </c:pt>
                <c:pt idx="18">
                  <c:v>Oldbury</c:v>
                </c:pt>
                <c:pt idx="19">
                  <c:v>Abbey</c:v>
                </c:pt>
                <c:pt idx="20">
                  <c:v>West Bromwich Central</c:v>
                </c:pt>
                <c:pt idx="21">
                  <c:v>Hateley Heath</c:v>
                </c:pt>
                <c:pt idx="22">
                  <c:v>Newton</c:v>
                </c:pt>
                <c:pt idx="23">
                  <c:v>Old Warley</c:v>
                </c:pt>
                <c:pt idx="24">
                  <c:v>Out of Authority</c:v>
                </c:pt>
              </c:strCache>
            </c:strRef>
          </c:cat>
          <c:val>
            <c:numRef>
              <c:f>Ward!$D$2:$D$25</c:f>
              <c:numCache>
                <c:formatCode>0.0%</c:formatCode>
                <c:ptCount val="24"/>
                <c:pt idx="0">
                  <c:v>7.1595330739299606E-2</c:v>
                </c:pt>
                <c:pt idx="1">
                  <c:v>6.4186725018234872E-2</c:v>
                </c:pt>
                <c:pt idx="2">
                  <c:v>5.7793345008756568E-2</c:v>
                </c:pt>
                <c:pt idx="3">
                  <c:v>5.4873054873054876E-2</c:v>
                </c:pt>
                <c:pt idx="4">
                  <c:v>4.8801369863013699E-2</c:v>
                </c:pt>
                <c:pt idx="5">
                  <c:v>4.7502047502047499E-2</c:v>
                </c:pt>
                <c:pt idx="6">
                  <c:v>4.3671354552183565E-2</c:v>
                </c:pt>
                <c:pt idx="7">
                  <c:v>4.265873015873016E-2</c:v>
                </c:pt>
                <c:pt idx="8">
                  <c:v>4.0178571428571432E-2</c:v>
                </c:pt>
                <c:pt idx="9">
                  <c:v>3.9014373716632446E-2</c:v>
                </c:pt>
                <c:pt idx="10">
                  <c:v>3.8948393378773129E-2</c:v>
                </c:pt>
                <c:pt idx="11">
                  <c:v>3.3041788143828958E-2</c:v>
                </c:pt>
                <c:pt idx="12">
                  <c:v>3.125E-2</c:v>
                </c:pt>
                <c:pt idx="13">
                  <c:v>2.9995162070633768E-2</c:v>
                </c:pt>
                <c:pt idx="14">
                  <c:v>2.9162746942615239E-2</c:v>
                </c:pt>
                <c:pt idx="15">
                  <c:v>2.8753993610223641E-2</c:v>
                </c:pt>
                <c:pt idx="16">
                  <c:v>2.8474576271186439E-2</c:v>
                </c:pt>
                <c:pt idx="17">
                  <c:v>2.6710097719869708E-2</c:v>
                </c:pt>
                <c:pt idx="18">
                  <c:v>2.5769956002514142E-2</c:v>
                </c:pt>
                <c:pt idx="19">
                  <c:v>2.4937655860349128E-2</c:v>
                </c:pt>
                <c:pt idx="20">
                  <c:v>2.3382696804364771E-2</c:v>
                </c:pt>
                <c:pt idx="21">
                  <c:v>1.8882175226586102E-2</c:v>
                </c:pt>
                <c:pt idx="22">
                  <c:v>1.4099783080260303E-2</c:v>
                </c:pt>
                <c:pt idx="23">
                  <c:v>1.3129102844638949E-2</c:v>
                </c:pt>
              </c:numCache>
            </c:numRef>
          </c:val>
          <c:extLst>
            <c:ext xmlns:c16="http://schemas.microsoft.com/office/drawing/2014/chart" uri="{C3380CC4-5D6E-409C-BE32-E72D297353CC}">
              <c16:uniqueId val="{00000000-B33A-4678-BB9B-528500FDFD84}"/>
            </c:ext>
          </c:extLst>
        </c:ser>
        <c:dLbls>
          <c:showLegendKey val="0"/>
          <c:showVal val="0"/>
          <c:showCatName val="0"/>
          <c:showSerName val="0"/>
          <c:showPercent val="0"/>
          <c:showBubbleSize val="0"/>
        </c:dLbls>
        <c:gapWidth val="75"/>
        <c:axId val="546190624"/>
        <c:axId val="546195216"/>
        <c:extLst>
          <c:ext xmlns:c15="http://schemas.microsoft.com/office/drawing/2012/chart" uri="{02D57815-91ED-43cb-92C2-25804820EDAC}">
            <c15:filteredBarSeries>
              <c15:ser>
                <c:idx val="3"/>
                <c:order val="0"/>
                <c:spPr>
                  <a:solidFill>
                    <a:schemeClr val="accent4"/>
                  </a:solidFill>
                  <a:ln>
                    <a:noFill/>
                  </a:ln>
                  <a:effectLst/>
                </c:spPr>
                <c:invertIfNegative val="0"/>
                <c:cat>
                  <c:strRef>
                    <c:extLst>
                      <c:ext uri="{02D57815-91ED-43cb-92C2-25804820EDAC}">
                        <c15:formulaRef>
                          <c15:sqref>Ward!$A$2:$A$26</c15:sqref>
                        </c15:formulaRef>
                      </c:ext>
                    </c:extLst>
                    <c:strCache>
                      <c:ptCount val="25"/>
                      <c:pt idx="0">
                        <c:v>Princes End</c:v>
                      </c:pt>
                      <c:pt idx="1">
                        <c:v>Tipton Green</c:v>
                      </c:pt>
                      <c:pt idx="2">
                        <c:v>Tividale</c:v>
                      </c:pt>
                      <c:pt idx="3">
                        <c:v>Friar Park</c:v>
                      </c:pt>
                      <c:pt idx="4">
                        <c:v>Great Bridge</c:v>
                      </c:pt>
                      <c:pt idx="5">
                        <c:v>Cradley Heath and Old Hill</c:v>
                      </c:pt>
                      <c:pt idx="6">
                        <c:v>Greets Green and Lyng</c:v>
                      </c:pt>
                      <c:pt idx="7">
                        <c:v>Wednesbury South</c:v>
                      </c:pt>
                      <c:pt idx="8">
                        <c:v>Langley</c:v>
                      </c:pt>
                      <c:pt idx="9">
                        <c:v>Rowley</c:v>
                      </c:pt>
                      <c:pt idx="10">
                        <c:v>Bristnall</c:v>
                      </c:pt>
                      <c:pt idx="11">
                        <c:v>Great Barr with Yew Tree</c:v>
                      </c:pt>
                      <c:pt idx="12">
                        <c:v>Wednesbury North</c:v>
                      </c:pt>
                      <c:pt idx="13">
                        <c:v>Soho and Victoria</c:v>
                      </c:pt>
                      <c:pt idx="14">
                        <c:v>Blackheath</c:v>
                      </c:pt>
                      <c:pt idx="15">
                        <c:v>Charlemont with Grove Vale</c:v>
                      </c:pt>
                      <c:pt idx="16">
                        <c:v>Smethwick</c:v>
                      </c:pt>
                      <c:pt idx="17">
                        <c:v>St. Pauls</c:v>
                      </c:pt>
                      <c:pt idx="18">
                        <c:v>Oldbury</c:v>
                      </c:pt>
                      <c:pt idx="19">
                        <c:v>Abbey</c:v>
                      </c:pt>
                      <c:pt idx="20">
                        <c:v>West Bromwich Central</c:v>
                      </c:pt>
                      <c:pt idx="21">
                        <c:v>Hateley Heath</c:v>
                      </c:pt>
                      <c:pt idx="22">
                        <c:v>Newton</c:v>
                      </c:pt>
                      <c:pt idx="23">
                        <c:v>Old Warley</c:v>
                      </c:pt>
                      <c:pt idx="24">
                        <c:v>Out of Authority</c:v>
                      </c:pt>
                    </c:strCache>
                  </c:strRef>
                </c:cat>
                <c:val>
                  <c:numRef>
                    <c:extLst>
                      <c:ext uri="{02D57815-91ED-43cb-92C2-25804820EDAC}">
                        <c15:formulaRef>
                          <c15:sqref>Ward!$B$2:$B$26</c15:sqref>
                        </c15:formulaRef>
                      </c:ext>
                    </c:extLst>
                    <c:numCache>
                      <c:formatCode>General</c:formatCode>
                      <c:ptCount val="25"/>
                      <c:pt idx="0">
                        <c:v>92</c:v>
                      </c:pt>
                      <c:pt idx="1">
                        <c:v>88</c:v>
                      </c:pt>
                      <c:pt idx="2">
                        <c:v>66</c:v>
                      </c:pt>
                      <c:pt idx="3">
                        <c:v>67</c:v>
                      </c:pt>
                      <c:pt idx="4">
                        <c:v>57</c:v>
                      </c:pt>
                      <c:pt idx="5">
                        <c:v>58</c:v>
                      </c:pt>
                      <c:pt idx="6">
                        <c:v>59</c:v>
                      </c:pt>
                      <c:pt idx="7">
                        <c:v>43</c:v>
                      </c:pt>
                      <c:pt idx="8">
                        <c:v>45</c:v>
                      </c:pt>
                      <c:pt idx="9">
                        <c:v>38</c:v>
                      </c:pt>
                      <c:pt idx="10">
                        <c:v>40</c:v>
                      </c:pt>
                      <c:pt idx="11">
                        <c:v>34</c:v>
                      </c:pt>
                      <c:pt idx="12">
                        <c:v>35</c:v>
                      </c:pt>
                      <c:pt idx="13">
                        <c:v>62</c:v>
                      </c:pt>
                      <c:pt idx="14">
                        <c:v>31</c:v>
                      </c:pt>
                      <c:pt idx="15">
                        <c:v>27</c:v>
                      </c:pt>
                      <c:pt idx="16">
                        <c:v>42</c:v>
                      </c:pt>
                      <c:pt idx="17">
                        <c:v>41</c:v>
                      </c:pt>
                      <c:pt idx="18">
                        <c:v>41</c:v>
                      </c:pt>
                      <c:pt idx="19">
                        <c:v>30</c:v>
                      </c:pt>
                      <c:pt idx="20">
                        <c:v>30</c:v>
                      </c:pt>
                      <c:pt idx="21">
                        <c:v>25</c:v>
                      </c:pt>
                      <c:pt idx="22">
                        <c:v>13</c:v>
                      </c:pt>
                      <c:pt idx="23">
                        <c:v>12</c:v>
                      </c:pt>
                      <c:pt idx="24">
                        <c:v>14</c:v>
                      </c:pt>
                    </c:numCache>
                  </c:numRef>
                </c:val>
                <c:extLst>
                  <c:ext xmlns:c16="http://schemas.microsoft.com/office/drawing/2014/chart" uri="{C3380CC4-5D6E-409C-BE32-E72D297353CC}">
                    <c16:uniqueId val="{00000002-B33A-4678-BB9B-528500FDFD84}"/>
                  </c:ext>
                </c:extLst>
              </c15:ser>
            </c15:filteredBarSeries>
          </c:ext>
        </c:extLst>
      </c:barChart>
      <c:lineChart>
        <c:grouping val="standard"/>
        <c:varyColors val="0"/>
        <c:ser>
          <c:idx val="2"/>
          <c:order val="3"/>
          <c:tx>
            <c:strRef>
              <c:f>Ward!$E$1</c:f>
              <c:strCache>
                <c:ptCount val="1"/>
                <c:pt idx="0">
                  <c:v>Sandwell average</c:v>
                </c:pt>
              </c:strCache>
            </c:strRef>
          </c:tx>
          <c:spPr>
            <a:ln w="28575" cap="rnd">
              <a:solidFill>
                <a:srgbClr val="C00000">
                  <a:alpha val="87000"/>
                </a:srgbClr>
              </a:solidFill>
              <a:round/>
            </a:ln>
            <a:effectLst/>
          </c:spPr>
          <c:marker>
            <c:symbol val="none"/>
          </c:marker>
          <c:cat>
            <c:strRef>
              <c:f>Ward!$A$2:$A$26</c:f>
              <c:strCache>
                <c:ptCount val="25"/>
                <c:pt idx="0">
                  <c:v>Princes End</c:v>
                </c:pt>
                <c:pt idx="1">
                  <c:v>Tipton Green</c:v>
                </c:pt>
                <c:pt idx="2">
                  <c:v>Tividale</c:v>
                </c:pt>
                <c:pt idx="3">
                  <c:v>Friar Park</c:v>
                </c:pt>
                <c:pt idx="4">
                  <c:v>Great Bridge</c:v>
                </c:pt>
                <c:pt idx="5">
                  <c:v>Cradley Heath and Old Hill</c:v>
                </c:pt>
                <c:pt idx="6">
                  <c:v>Greets Green and Lyng</c:v>
                </c:pt>
                <c:pt idx="7">
                  <c:v>Wednesbury South</c:v>
                </c:pt>
                <c:pt idx="8">
                  <c:v>Langley</c:v>
                </c:pt>
                <c:pt idx="9">
                  <c:v>Rowley</c:v>
                </c:pt>
                <c:pt idx="10">
                  <c:v>Bristnall</c:v>
                </c:pt>
                <c:pt idx="11">
                  <c:v>Great Barr with Yew Tree</c:v>
                </c:pt>
                <c:pt idx="12">
                  <c:v>Wednesbury North</c:v>
                </c:pt>
                <c:pt idx="13">
                  <c:v>Soho and Victoria</c:v>
                </c:pt>
                <c:pt idx="14">
                  <c:v>Blackheath</c:v>
                </c:pt>
                <c:pt idx="15">
                  <c:v>Charlemont with Grove Vale</c:v>
                </c:pt>
                <c:pt idx="16">
                  <c:v>Smethwick</c:v>
                </c:pt>
                <c:pt idx="17">
                  <c:v>St. Pauls</c:v>
                </c:pt>
                <c:pt idx="18">
                  <c:v>Oldbury</c:v>
                </c:pt>
                <c:pt idx="19">
                  <c:v>Abbey</c:v>
                </c:pt>
                <c:pt idx="20">
                  <c:v>West Bromwich Central</c:v>
                </c:pt>
                <c:pt idx="21">
                  <c:v>Hateley Heath</c:v>
                </c:pt>
                <c:pt idx="22">
                  <c:v>Newton</c:v>
                </c:pt>
                <c:pt idx="23">
                  <c:v>Old Warley</c:v>
                </c:pt>
                <c:pt idx="24">
                  <c:v>Out of Authority</c:v>
                </c:pt>
              </c:strCache>
            </c:strRef>
          </c:cat>
          <c:val>
            <c:numRef>
              <c:f>Ward!$E$2:$E$25</c:f>
              <c:numCache>
                <c:formatCode>0.0%</c:formatCode>
                <c:ptCount val="24"/>
                <c:pt idx="0">
                  <c:v>3.6999999999999998E-2</c:v>
                </c:pt>
                <c:pt idx="1">
                  <c:v>3.6999999999999998E-2</c:v>
                </c:pt>
                <c:pt idx="2">
                  <c:v>3.6999999999999998E-2</c:v>
                </c:pt>
                <c:pt idx="3">
                  <c:v>3.6999999999999998E-2</c:v>
                </c:pt>
                <c:pt idx="4">
                  <c:v>3.6999999999999998E-2</c:v>
                </c:pt>
                <c:pt idx="5">
                  <c:v>3.6999999999999998E-2</c:v>
                </c:pt>
                <c:pt idx="6">
                  <c:v>3.6999999999999998E-2</c:v>
                </c:pt>
                <c:pt idx="7">
                  <c:v>3.6999999999999998E-2</c:v>
                </c:pt>
                <c:pt idx="8">
                  <c:v>3.6999999999999998E-2</c:v>
                </c:pt>
                <c:pt idx="9">
                  <c:v>3.6999999999999998E-2</c:v>
                </c:pt>
                <c:pt idx="10">
                  <c:v>3.6999999999999998E-2</c:v>
                </c:pt>
                <c:pt idx="11">
                  <c:v>3.6999999999999998E-2</c:v>
                </c:pt>
                <c:pt idx="12">
                  <c:v>3.6999999999999998E-2</c:v>
                </c:pt>
                <c:pt idx="13">
                  <c:v>3.6999999999999998E-2</c:v>
                </c:pt>
                <c:pt idx="14">
                  <c:v>3.6999999999999998E-2</c:v>
                </c:pt>
                <c:pt idx="15">
                  <c:v>3.6999999999999998E-2</c:v>
                </c:pt>
                <c:pt idx="16">
                  <c:v>3.6999999999999998E-2</c:v>
                </c:pt>
                <c:pt idx="17">
                  <c:v>3.6999999999999998E-2</c:v>
                </c:pt>
                <c:pt idx="18">
                  <c:v>3.6999999999999998E-2</c:v>
                </c:pt>
                <c:pt idx="19">
                  <c:v>3.6999999999999998E-2</c:v>
                </c:pt>
                <c:pt idx="20">
                  <c:v>3.6999999999999998E-2</c:v>
                </c:pt>
                <c:pt idx="21">
                  <c:v>3.6999999999999998E-2</c:v>
                </c:pt>
                <c:pt idx="22">
                  <c:v>3.6999999999999998E-2</c:v>
                </c:pt>
                <c:pt idx="23">
                  <c:v>3.6999999999999998E-2</c:v>
                </c:pt>
              </c:numCache>
            </c:numRef>
          </c:val>
          <c:smooth val="0"/>
          <c:extLst>
            <c:ext xmlns:c16="http://schemas.microsoft.com/office/drawing/2014/chart" uri="{C3380CC4-5D6E-409C-BE32-E72D297353CC}">
              <c16:uniqueId val="{00000001-B33A-4678-BB9B-528500FDFD84}"/>
            </c:ext>
          </c:extLst>
        </c:ser>
        <c:dLbls>
          <c:showLegendKey val="0"/>
          <c:showVal val="0"/>
          <c:showCatName val="0"/>
          <c:showSerName val="0"/>
          <c:showPercent val="0"/>
          <c:showBubbleSize val="0"/>
        </c:dLbls>
        <c:marker val="1"/>
        <c:smooth val="0"/>
        <c:axId val="669328048"/>
        <c:axId val="669328704"/>
        <c:extLst>
          <c:ext xmlns:c15="http://schemas.microsoft.com/office/drawing/2012/chart" uri="{02D57815-91ED-43cb-92C2-25804820EDAC}">
            <c15:filteredLineSeries>
              <c15:ser>
                <c:idx val="0"/>
                <c:order val="1"/>
                <c:spPr>
                  <a:ln w="28575" cap="rnd">
                    <a:solidFill>
                      <a:schemeClr val="accent1"/>
                    </a:solidFill>
                    <a:round/>
                  </a:ln>
                  <a:effectLst/>
                </c:spPr>
                <c:marker>
                  <c:symbol val="none"/>
                </c:marker>
                <c:cat>
                  <c:strRef>
                    <c:extLst>
                      <c:ext uri="{02D57815-91ED-43cb-92C2-25804820EDAC}">
                        <c15:formulaRef>
                          <c15:sqref>Ward!$A$2:$A$26</c15:sqref>
                        </c15:formulaRef>
                      </c:ext>
                    </c:extLst>
                    <c:strCache>
                      <c:ptCount val="25"/>
                      <c:pt idx="0">
                        <c:v>Princes End</c:v>
                      </c:pt>
                      <c:pt idx="1">
                        <c:v>Tipton Green</c:v>
                      </c:pt>
                      <c:pt idx="2">
                        <c:v>Tividale</c:v>
                      </c:pt>
                      <c:pt idx="3">
                        <c:v>Friar Park</c:v>
                      </c:pt>
                      <c:pt idx="4">
                        <c:v>Great Bridge</c:v>
                      </c:pt>
                      <c:pt idx="5">
                        <c:v>Cradley Heath and Old Hill</c:v>
                      </c:pt>
                      <c:pt idx="6">
                        <c:v>Greets Green and Lyng</c:v>
                      </c:pt>
                      <c:pt idx="7">
                        <c:v>Wednesbury South</c:v>
                      </c:pt>
                      <c:pt idx="8">
                        <c:v>Langley</c:v>
                      </c:pt>
                      <c:pt idx="9">
                        <c:v>Rowley</c:v>
                      </c:pt>
                      <c:pt idx="10">
                        <c:v>Bristnall</c:v>
                      </c:pt>
                      <c:pt idx="11">
                        <c:v>Great Barr with Yew Tree</c:v>
                      </c:pt>
                      <c:pt idx="12">
                        <c:v>Wednesbury North</c:v>
                      </c:pt>
                      <c:pt idx="13">
                        <c:v>Soho and Victoria</c:v>
                      </c:pt>
                      <c:pt idx="14">
                        <c:v>Blackheath</c:v>
                      </c:pt>
                      <c:pt idx="15">
                        <c:v>Charlemont with Grove Vale</c:v>
                      </c:pt>
                      <c:pt idx="16">
                        <c:v>Smethwick</c:v>
                      </c:pt>
                      <c:pt idx="17">
                        <c:v>St. Pauls</c:v>
                      </c:pt>
                      <c:pt idx="18">
                        <c:v>Oldbury</c:v>
                      </c:pt>
                      <c:pt idx="19">
                        <c:v>Abbey</c:v>
                      </c:pt>
                      <c:pt idx="20">
                        <c:v>West Bromwich Central</c:v>
                      </c:pt>
                      <c:pt idx="21">
                        <c:v>Hateley Heath</c:v>
                      </c:pt>
                      <c:pt idx="22">
                        <c:v>Newton</c:v>
                      </c:pt>
                      <c:pt idx="23">
                        <c:v>Old Warley</c:v>
                      </c:pt>
                      <c:pt idx="24">
                        <c:v>Out of Authority</c:v>
                      </c:pt>
                    </c:strCache>
                  </c:strRef>
                </c:cat>
                <c:val>
                  <c:numRef>
                    <c:extLst>
                      <c:ext uri="{02D57815-91ED-43cb-92C2-25804820EDAC}">
                        <c15:formulaRef>
                          <c15:sqref>Ward!$C$2:$C$26</c15:sqref>
                        </c15:formulaRef>
                      </c:ext>
                    </c:extLst>
                    <c:numCache>
                      <c:formatCode>#,##0</c:formatCode>
                      <c:ptCount val="25"/>
                      <c:pt idx="0">
                        <c:v>1285</c:v>
                      </c:pt>
                      <c:pt idx="1">
                        <c:v>1371</c:v>
                      </c:pt>
                      <c:pt idx="2">
                        <c:v>1142</c:v>
                      </c:pt>
                      <c:pt idx="3">
                        <c:v>1221</c:v>
                      </c:pt>
                      <c:pt idx="4">
                        <c:v>1168</c:v>
                      </c:pt>
                      <c:pt idx="5">
                        <c:v>1221</c:v>
                      </c:pt>
                      <c:pt idx="6">
                        <c:v>1351</c:v>
                      </c:pt>
                      <c:pt idx="7">
                        <c:v>1008</c:v>
                      </c:pt>
                      <c:pt idx="8">
                        <c:v>1120</c:v>
                      </c:pt>
                      <c:pt idx="9">
                        <c:v>974</c:v>
                      </c:pt>
                      <c:pt idx="10">
                        <c:v>1027</c:v>
                      </c:pt>
                      <c:pt idx="11">
                        <c:v>1029</c:v>
                      </c:pt>
                      <c:pt idx="12">
                        <c:v>1120</c:v>
                      </c:pt>
                      <c:pt idx="13">
                        <c:v>2067</c:v>
                      </c:pt>
                      <c:pt idx="14">
                        <c:v>1063</c:v>
                      </c:pt>
                      <c:pt idx="15">
                        <c:v>939</c:v>
                      </c:pt>
                      <c:pt idx="16">
                        <c:v>1475</c:v>
                      </c:pt>
                      <c:pt idx="17">
                        <c:v>1535</c:v>
                      </c:pt>
                      <c:pt idx="18">
                        <c:v>1591</c:v>
                      </c:pt>
                      <c:pt idx="19">
                        <c:v>1203</c:v>
                      </c:pt>
                      <c:pt idx="20">
                        <c:v>1283</c:v>
                      </c:pt>
                      <c:pt idx="21">
                        <c:v>1324</c:v>
                      </c:pt>
                      <c:pt idx="22">
                        <c:v>922</c:v>
                      </c:pt>
                      <c:pt idx="23">
                        <c:v>914</c:v>
                      </c:pt>
                    </c:numCache>
                  </c:numRef>
                </c:val>
                <c:smooth val="0"/>
                <c:extLst>
                  <c:ext xmlns:c16="http://schemas.microsoft.com/office/drawing/2014/chart" uri="{C3380CC4-5D6E-409C-BE32-E72D297353CC}">
                    <c16:uniqueId val="{00000003-B33A-4678-BB9B-528500FDFD84}"/>
                  </c:ext>
                </c:extLst>
              </c15:ser>
            </c15:filteredLineSeries>
          </c:ext>
        </c:extLst>
      </c:lineChart>
      <c:catAx>
        <c:axId val="5461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46195216"/>
        <c:crosses val="autoZero"/>
        <c:auto val="1"/>
        <c:lblAlgn val="ctr"/>
        <c:lblOffset val="100"/>
        <c:noMultiLvlLbl val="0"/>
      </c:catAx>
      <c:valAx>
        <c:axId val="546195216"/>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 of 0-5s</a:t>
                </a:r>
              </a:p>
            </c:rich>
          </c:tx>
          <c:layout>
            <c:manualLayout>
              <c:xMode val="edge"/>
              <c:yMode val="edge"/>
              <c:x val="3.6922399362801783E-2"/>
              <c:y val="0.2818663576143890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6190624"/>
        <c:crosses val="autoZero"/>
        <c:crossBetween val="between"/>
        <c:majorUnit val="1.0000000000000002E-2"/>
      </c:valAx>
      <c:valAx>
        <c:axId val="669328704"/>
        <c:scaling>
          <c:orientation val="minMax"/>
          <c:max val="8.0000000000000016E-2"/>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669328048"/>
        <c:crosses val="max"/>
        <c:crossBetween val="between"/>
      </c:valAx>
      <c:catAx>
        <c:axId val="669328048"/>
        <c:scaling>
          <c:orientation val="minMax"/>
        </c:scaling>
        <c:delete val="1"/>
        <c:axPos val="b"/>
        <c:numFmt formatCode="General" sourceLinked="1"/>
        <c:majorTickMark val="out"/>
        <c:minorTickMark val="none"/>
        <c:tickLblPos val="nextTo"/>
        <c:crossAx val="669328704"/>
        <c:crosses val="autoZero"/>
        <c:auto val="1"/>
        <c:lblAlgn val="ctr"/>
        <c:lblOffset val="100"/>
        <c:noMultiLvlLbl val="0"/>
      </c:catAx>
      <c:spPr>
        <a:noFill/>
        <a:ln>
          <a:noFill/>
        </a:ln>
        <a:effectLst/>
      </c:spPr>
    </c:plotArea>
    <c:legend>
      <c:legendPos val="r"/>
      <c:layout>
        <c:manualLayout>
          <c:xMode val="edge"/>
          <c:yMode val="edge"/>
          <c:x val="0.66076984171052011"/>
          <c:y val="0.17424208337594163"/>
          <c:w val="0.27760590549174119"/>
          <c:h val="0.11834657031507426"/>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07211851554994"/>
          <c:y val="0.14222222222222222"/>
          <c:w val="0.78021012555616787"/>
          <c:h val="0.67501046369203854"/>
        </c:manualLayout>
      </c:layout>
      <c:barChart>
        <c:barDir val="col"/>
        <c:grouping val="clustered"/>
        <c:varyColors val="0"/>
        <c:ser>
          <c:idx val="1"/>
          <c:order val="0"/>
          <c:tx>
            <c:strRef>
              <c:f>Ethnicity!$D$12</c:f>
              <c:strCache>
                <c:ptCount val="1"/>
                <c:pt idx="0">
                  <c:v>Rate per 10,000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Ethnicity!$A$13:$A$17</c:f>
              <c:strCache>
                <c:ptCount val="5"/>
                <c:pt idx="0">
                  <c:v>White</c:v>
                </c:pt>
                <c:pt idx="1">
                  <c:v>Asian</c:v>
                </c:pt>
                <c:pt idx="2">
                  <c:v>Black</c:v>
                </c:pt>
                <c:pt idx="3">
                  <c:v>Mixed</c:v>
                </c:pt>
                <c:pt idx="4">
                  <c:v>Other</c:v>
                </c:pt>
              </c:strCache>
            </c:strRef>
          </c:cat>
          <c:val>
            <c:numRef>
              <c:f>Ethnicity!$D$13:$D$17</c:f>
              <c:numCache>
                <c:formatCode>0.0</c:formatCode>
                <c:ptCount val="5"/>
                <c:pt idx="0">
                  <c:v>321.77616914215093</c:v>
                </c:pt>
                <c:pt idx="1">
                  <c:v>144.82859511386354</c:v>
                </c:pt>
                <c:pt idx="2">
                  <c:v>378.15126050420167</c:v>
                </c:pt>
                <c:pt idx="3">
                  <c:v>498.29816201497613</c:v>
                </c:pt>
                <c:pt idx="4">
                  <c:v>180.61408789885613</c:v>
                </c:pt>
              </c:numCache>
            </c:numRef>
          </c:val>
          <c:extLst>
            <c:ext xmlns:c16="http://schemas.microsoft.com/office/drawing/2014/chart" uri="{C3380CC4-5D6E-409C-BE32-E72D297353CC}">
              <c16:uniqueId val="{00000000-BD86-452D-9AC7-7FD36B11C077}"/>
            </c:ext>
          </c:extLst>
        </c:ser>
        <c:dLbls>
          <c:showLegendKey val="0"/>
          <c:showVal val="0"/>
          <c:showCatName val="0"/>
          <c:showSerName val="0"/>
          <c:showPercent val="0"/>
          <c:showBubbleSize val="0"/>
        </c:dLbls>
        <c:gapWidth val="75"/>
        <c:axId val="546190624"/>
        <c:axId val="546195216"/>
      </c:barChart>
      <c:catAx>
        <c:axId val="5461906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Ethnic</a:t>
                </a:r>
                <a:r>
                  <a:rPr lang="en-US" sz="1200" baseline="0"/>
                  <a:t> Group</a:t>
                </a:r>
                <a:endParaRPr lang="en-US" sz="1200"/>
              </a:p>
            </c:rich>
          </c:tx>
          <c:layout>
            <c:manualLayout>
              <c:xMode val="edge"/>
              <c:yMode val="edge"/>
              <c:x val="0.4531973786677474"/>
              <c:y val="0.9088478740157480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6195216"/>
        <c:crosses val="autoZero"/>
        <c:auto val="1"/>
        <c:lblAlgn val="ctr"/>
        <c:lblOffset val="100"/>
        <c:noMultiLvlLbl val="0"/>
      </c:catAx>
      <c:valAx>
        <c:axId val="546195216"/>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Rate per 10,000 population</a:t>
                </a:r>
              </a:p>
            </c:rich>
          </c:tx>
          <c:layout>
            <c:manualLayout>
              <c:xMode val="edge"/>
              <c:yMode val="edge"/>
              <c:x val="1.8507807981492191E-2"/>
              <c:y val="0.2253007174103237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619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43593146362321"/>
          <c:y val="0.14302233338600512"/>
          <c:w val="0.73795614733551562"/>
          <c:h val="0.60366215149164071"/>
        </c:manualLayout>
      </c:layout>
      <c:barChart>
        <c:barDir val="col"/>
        <c:grouping val="clustered"/>
        <c:varyColors val="0"/>
        <c:ser>
          <c:idx val="1"/>
          <c:order val="1"/>
          <c:tx>
            <c:strRef>
              <c:f>'CIN, CP, LAC'!$K$6</c:f>
              <c:strCache>
                <c:ptCount val="1"/>
                <c:pt idx="0">
                  <c:v>Statistical Neighbours</c:v>
                </c:pt>
              </c:strCache>
            </c:strRef>
          </c:tx>
          <c:spPr>
            <a:solidFill>
              <a:schemeClr val="accent1"/>
            </a:solidFill>
            <a:ln>
              <a:solidFill>
                <a:schemeClr val="accent1"/>
              </a:solid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LAC'!$K$14:$P$14</c:f>
              <c:numCache>
                <c:formatCode>General</c:formatCode>
                <c:ptCount val="6"/>
                <c:pt idx="0">
                  <c:v>485.49000000000007</c:v>
                </c:pt>
                <c:pt idx="1">
                  <c:v>464.35</c:v>
                </c:pt>
                <c:pt idx="2">
                  <c:v>426.25</c:v>
                </c:pt>
                <c:pt idx="3">
                  <c:v>446.39000000000004</c:v>
                </c:pt>
                <c:pt idx="4">
                  <c:v>425.26000000000005</c:v>
                </c:pt>
                <c:pt idx="5">
                  <c:v>422</c:v>
                </c:pt>
              </c:numCache>
            </c:numRef>
          </c:val>
          <c:extLst>
            <c:ext xmlns:c16="http://schemas.microsoft.com/office/drawing/2014/chart" uri="{C3380CC4-5D6E-409C-BE32-E72D297353CC}">
              <c16:uniqueId val="{00000000-05DD-4DDA-B583-65616AA99811}"/>
            </c:ext>
          </c:extLst>
        </c:ser>
        <c:ser>
          <c:idx val="2"/>
          <c:order val="2"/>
          <c:tx>
            <c:strRef>
              <c:f>'CIN, CP, LAC'!$Q$6</c:f>
              <c:strCache>
                <c:ptCount val="1"/>
                <c:pt idx="0">
                  <c:v>England</c:v>
                </c:pt>
              </c:strCache>
            </c:strRef>
          </c:tx>
          <c:spPr>
            <a:solidFill>
              <a:srgbClr val="C00000"/>
            </a:solidFill>
            <a:ln>
              <a:no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LAC'!$Q$14:$V$14</c:f>
              <c:numCache>
                <c:formatCode>General</c:formatCode>
                <c:ptCount val="6"/>
                <c:pt idx="0">
                  <c:v>346.2</c:v>
                </c:pt>
                <c:pt idx="1">
                  <c:v>336.6</c:v>
                </c:pt>
                <c:pt idx="2">
                  <c:v>337.3</c:v>
                </c:pt>
                <c:pt idx="3">
                  <c:v>330.1</c:v>
                </c:pt>
                <c:pt idx="4">
                  <c:v>341</c:v>
                </c:pt>
                <c:pt idx="5">
                  <c:v>334</c:v>
                </c:pt>
              </c:numCache>
            </c:numRef>
          </c:val>
          <c:extLst>
            <c:ext xmlns:c16="http://schemas.microsoft.com/office/drawing/2014/chart" uri="{C3380CC4-5D6E-409C-BE32-E72D297353CC}">
              <c16:uniqueId val="{00000001-05DD-4DDA-B583-65616AA99811}"/>
            </c:ext>
          </c:extLst>
        </c:ser>
        <c:ser>
          <c:idx val="3"/>
          <c:order val="3"/>
          <c:tx>
            <c:strRef>
              <c:f>'CIN, CP, LAC'!$W$6</c:f>
              <c:strCache>
                <c:ptCount val="1"/>
                <c:pt idx="0">
                  <c:v>West Midlands</c:v>
                </c:pt>
              </c:strCache>
            </c:strRef>
          </c:tx>
          <c:spPr>
            <a:solidFill>
              <a:schemeClr val="accent6"/>
            </a:solidFill>
            <a:ln>
              <a:no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LAC'!$W$14:$AB$14</c:f>
              <c:numCache>
                <c:formatCode>General</c:formatCode>
                <c:ptCount val="6"/>
                <c:pt idx="0">
                  <c:v>380.3</c:v>
                </c:pt>
                <c:pt idx="1">
                  <c:v>368.6</c:v>
                </c:pt>
                <c:pt idx="2">
                  <c:v>358.9</c:v>
                </c:pt>
                <c:pt idx="3">
                  <c:v>352.2</c:v>
                </c:pt>
                <c:pt idx="4">
                  <c:v>360.2</c:v>
                </c:pt>
                <c:pt idx="5">
                  <c:v>352</c:v>
                </c:pt>
              </c:numCache>
            </c:numRef>
          </c:val>
          <c:extLst>
            <c:ext xmlns:c16="http://schemas.microsoft.com/office/drawing/2014/chart" uri="{C3380CC4-5D6E-409C-BE32-E72D297353CC}">
              <c16:uniqueId val="{00000002-05DD-4DDA-B583-65616AA99811}"/>
            </c:ext>
          </c:extLst>
        </c:ser>
        <c:dLbls>
          <c:showLegendKey val="0"/>
          <c:showVal val="0"/>
          <c:showCatName val="0"/>
          <c:showSerName val="0"/>
          <c:showPercent val="0"/>
          <c:showBubbleSize val="0"/>
        </c:dLbls>
        <c:gapWidth val="150"/>
        <c:axId val="427639928"/>
        <c:axId val="427635336"/>
      </c:barChart>
      <c:lineChart>
        <c:grouping val="standard"/>
        <c:varyColors val="0"/>
        <c:ser>
          <c:idx val="0"/>
          <c:order val="0"/>
          <c:tx>
            <c:strRef>
              <c:f>'CIN, CP, LAC'!$E$6</c:f>
              <c:strCache>
                <c:ptCount val="1"/>
                <c:pt idx="0">
                  <c:v>Sandwell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'CIN, CP, LAC'!$E$7:$J$7</c:f>
              <c:strCache>
                <c:ptCount val="6"/>
                <c:pt idx="0">
                  <c:v>2013-14</c:v>
                </c:pt>
                <c:pt idx="1">
                  <c:v>2014-15</c:v>
                </c:pt>
                <c:pt idx="2">
                  <c:v>2015-16</c:v>
                </c:pt>
                <c:pt idx="3">
                  <c:v>2016-17</c:v>
                </c:pt>
                <c:pt idx="4">
                  <c:v>2017-18</c:v>
                </c:pt>
                <c:pt idx="5">
                  <c:v>2018-19</c:v>
                </c:pt>
              </c:strCache>
            </c:strRef>
          </c:cat>
          <c:val>
            <c:numRef>
              <c:f>'CIN, CP, LAC'!$E$14:$J$14</c:f>
              <c:numCache>
                <c:formatCode>General</c:formatCode>
                <c:ptCount val="6"/>
                <c:pt idx="0">
                  <c:v>263.39999999999998</c:v>
                </c:pt>
                <c:pt idx="1">
                  <c:v>228.8</c:v>
                </c:pt>
                <c:pt idx="2">
                  <c:v>299.3</c:v>
                </c:pt>
                <c:pt idx="3">
                  <c:v>312.7</c:v>
                </c:pt>
                <c:pt idx="4">
                  <c:v>451.5</c:v>
                </c:pt>
                <c:pt idx="5">
                  <c:v>473.5</c:v>
                </c:pt>
              </c:numCache>
            </c:numRef>
          </c:val>
          <c:smooth val="0"/>
          <c:extLst>
            <c:ext xmlns:c16="http://schemas.microsoft.com/office/drawing/2014/chart" uri="{C3380CC4-5D6E-409C-BE32-E72D297353CC}">
              <c16:uniqueId val="{00000003-05DD-4DDA-B583-65616AA99811}"/>
            </c:ext>
          </c:extLst>
        </c:ser>
        <c:dLbls>
          <c:showLegendKey val="0"/>
          <c:showVal val="0"/>
          <c:showCatName val="0"/>
          <c:showSerName val="0"/>
          <c:showPercent val="0"/>
          <c:showBubbleSize val="0"/>
        </c:dLbls>
        <c:marker val="1"/>
        <c:smooth val="0"/>
        <c:axId val="427639928"/>
        <c:axId val="427635336"/>
      </c:lineChart>
      <c:catAx>
        <c:axId val="42763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27635336"/>
        <c:crosses val="autoZero"/>
        <c:auto val="1"/>
        <c:lblAlgn val="ctr"/>
        <c:lblOffset val="100"/>
        <c:noMultiLvlLbl val="0"/>
      </c:catAx>
      <c:valAx>
        <c:axId val="427635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Rate  per 10,000 children </a:t>
                </a:r>
              </a:p>
            </c:rich>
          </c:tx>
          <c:layout>
            <c:manualLayout>
              <c:xMode val="edge"/>
              <c:yMode val="edge"/>
              <c:x val="5.2824872999466164E-2"/>
              <c:y val="0.25630530902463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27639928"/>
        <c:crosses val="autoZero"/>
        <c:crossBetween val="between"/>
      </c:valAx>
      <c:spPr>
        <a:noFill/>
        <a:ln>
          <a:noFill/>
        </a:ln>
        <a:effectLst/>
      </c:spPr>
    </c:plotArea>
    <c:legend>
      <c:legendPos val="r"/>
      <c:layout>
        <c:manualLayout>
          <c:xMode val="edge"/>
          <c:yMode val="edge"/>
          <c:x val="0.10539622792083422"/>
          <c:y val="0.8291754322433631"/>
          <c:w val="0.80378564588210255"/>
          <c:h val="0.101958267866238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9063374343724"/>
          <c:y val="0.13292476851851853"/>
          <c:w val="0.74250864197530875"/>
          <c:h val="0.63877662037037042"/>
        </c:manualLayout>
      </c:layout>
      <c:barChart>
        <c:barDir val="col"/>
        <c:grouping val="clustered"/>
        <c:varyColors val="0"/>
        <c:ser>
          <c:idx val="1"/>
          <c:order val="1"/>
          <c:tx>
            <c:strRef>
              <c:f>'CIN, CP, LAC'!$K$6</c:f>
              <c:strCache>
                <c:ptCount val="1"/>
                <c:pt idx="0">
                  <c:v>Statistical Neighbours</c:v>
                </c:pt>
              </c:strCache>
            </c:strRef>
          </c:tx>
          <c:spPr>
            <a:solidFill>
              <a:schemeClr val="accent1"/>
            </a:solidFill>
            <a:ln>
              <a:no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LAC'!$K$25:$P$25</c:f>
              <c:numCache>
                <c:formatCode>General</c:formatCode>
                <c:ptCount val="6"/>
                <c:pt idx="0">
                  <c:v>57.490000000000009</c:v>
                </c:pt>
                <c:pt idx="1">
                  <c:v>56.83</c:v>
                </c:pt>
                <c:pt idx="2">
                  <c:v>52.089999999999996</c:v>
                </c:pt>
                <c:pt idx="3">
                  <c:v>57.839999999999996</c:v>
                </c:pt>
                <c:pt idx="4">
                  <c:v>60.009999999999991</c:v>
                </c:pt>
                <c:pt idx="5">
                  <c:v>54</c:v>
                </c:pt>
              </c:numCache>
            </c:numRef>
          </c:val>
          <c:extLst>
            <c:ext xmlns:c16="http://schemas.microsoft.com/office/drawing/2014/chart" uri="{C3380CC4-5D6E-409C-BE32-E72D297353CC}">
              <c16:uniqueId val="{00000000-DA1E-4B4F-AC97-A0CB41E691DB}"/>
            </c:ext>
          </c:extLst>
        </c:ser>
        <c:ser>
          <c:idx val="2"/>
          <c:order val="2"/>
          <c:tx>
            <c:strRef>
              <c:f>'CIN, CP, LAC'!$Q$6</c:f>
              <c:strCache>
                <c:ptCount val="1"/>
                <c:pt idx="0">
                  <c:v>England</c:v>
                </c:pt>
              </c:strCache>
            </c:strRef>
          </c:tx>
          <c:spPr>
            <a:solidFill>
              <a:srgbClr val="C00000"/>
            </a:solidFill>
            <a:ln>
              <a:no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LAC'!$Q$25:$V$25</c:f>
              <c:numCache>
                <c:formatCode>General</c:formatCode>
                <c:ptCount val="6"/>
                <c:pt idx="0">
                  <c:v>42.3</c:v>
                </c:pt>
                <c:pt idx="1">
                  <c:v>42.9</c:v>
                </c:pt>
                <c:pt idx="2">
                  <c:v>43.1</c:v>
                </c:pt>
                <c:pt idx="3">
                  <c:v>43.3</c:v>
                </c:pt>
                <c:pt idx="4">
                  <c:v>45.3</c:v>
                </c:pt>
                <c:pt idx="5">
                  <c:v>44</c:v>
                </c:pt>
              </c:numCache>
            </c:numRef>
          </c:val>
          <c:extLst>
            <c:ext xmlns:c16="http://schemas.microsoft.com/office/drawing/2014/chart" uri="{C3380CC4-5D6E-409C-BE32-E72D297353CC}">
              <c16:uniqueId val="{00000001-DA1E-4B4F-AC97-A0CB41E691DB}"/>
            </c:ext>
          </c:extLst>
        </c:ser>
        <c:ser>
          <c:idx val="3"/>
          <c:order val="3"/>
          <c:tx>
            <c:strRef>
              <c:f>'CIN, CP, LAC'!$W$6</c:f>
              <c:strCache>
                <c:ptCount val="1"/>
                <c:pt idx="0">
                  <c:v>West Midlands</c:v>
                </c:pt>
              </c:strCache>
            </c:strRef>
          </c:tx>
          <c:spPr>
            <a:solidFill>
              <a:schemeClr val="accent6"/>
            </a:solidFill>
            <a:ln>
              <a:no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LAC'!$W$25:$AB$25</c:f>
              <c:numCache>
                <c:formatCode>General</c:formatCode>
                <c:ptCount val="6"/>
                <c:pt idx="0">
                  <c:v>44.8</c:v>
                </c:pt>
                <c:pt idx="1">
                  <c:v>45.9</c:v>
                </c:pt>
                <c:pt idx="2">
                  <c:v>43.2</c:v>
                </c:pt>
                <c:pt idx="3">
                  <c:v>45.3</c:v>
                </c:pt>
                <c:pt idx="4">
                  <c:v>49.9</c:v>
                </c:pt>
                <c:pt idx="5">
                  <c:v>47</c:v>
                </c:pt>
              </c:numCache>
            </c:numRef>
          </c:val>
          <c:extLst>
            <c:ext xmlns:c16="http://schemas.microsoft.com/office/drawing/2014/chart" uri="{C3380CC4-5D6E-409C-BE32-E72D297353CC}">
              <c16:uniqueId val="{00000002-DA1E-4B4F-AC97-A0CB41E691DB}"/>
            </c:ext>
          </c:extLst>
        </c:ser>
        <c:dLbls>
          <c:showLegendKey val="0"/>
          <c:showVal val="0"/>
          <c:showCatName val="0"/>
          <c:showSerName val="0"/>
          <c:showPercent val="0"/>
          <c:showBubbleSize val="0"/>
        </c:dLbls>
        <c:gapWidth val="150"/>
        <c:axId val="427639928"/>
        <c:axId val="427635336"/>
      </c:barChart>
      <c:lineChart>
        <c:grouping val="standard"/>
        <c:varyColors val="0"/>
        <c:ser>
          <c:idx val="0"/>
          <c:order val="0"/>
          <c:tx>
            <c:strRef>
              <c:f>'CIN, CP, LAC'!$E$6</c:f>
              <c:strCache>
                <c:ptCount val="1"/>
                <c:pt idx="0">
                  <c:v>Sandwell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'CIN, CP, LAC'!$E$7:$J$7</c:f>
              <c:strCache>
                <c:ptCount val="6"/>
                <c:pt idx="0">
                  <c:v>2013-14</c:v>
                </c:pt>
                <c:pt idx="1">
                  <c:v>2014-15</c:v>
                </c:pt>
                <c:pt idx="2">
                  <c:v>2015-16</c:v>
                </c:pt>
                <c:pt idx="3">
                  <c:v>2016-17</c:v>
                </c:pt>
                <c:pt idx="4">
                  <c:v>2017-18</c:v>
                </c:pt>
                <c:pt idx="5">
                  <c:v>2018-19</c:v>
                </c:pt>
              </c:strCache>
            </c:strRef>
          </c:cat>
          <c:val>
            <c:numRef>
              <c:f>'CIN, CP, LAC'!$E$25:$J$25</c:f>
              <c:numCache>
                <c:formatCode>General</c:formatCode>
                <c:ptCount val="6"/>
                <c:pt idx="0">
                  <c:v>50.6</c:v>
                </c:pt>
                <c:pt idx="1">
                  <c:v>40.799999999999997</c:v>
                </c:pt>
                <c:pt idx="2">
                  <c:v>45.2</c:v>
                </c:pt>
                <c:pt idx="3">
                  <c:v>53.5</c:v>
                </c:pt>
                <c:pt idx="4">
                  <c:v>101.8</c:v>
                </c:pt>
                <c:pt idx="5">
                  <c:v>71</c:v>
                </c:pt>
              </c:numCache>
            </c:numRef>
          </c:val>
          <c:smooth val="0"/>
          <c:extLst>
            <c:ext xmlns:c16="http://schemas.microsoft.com/office/drawing/2014/chart" uri="{C3380CC4-5D6E-409C-BE32-E72D297353CC}">
              <c16:uniqueId val="{00000003-DA1E-4B4F-AC97-A0CB41E691DB}"/>
            </c:ext>
          </c:extLst>
        </c:ser>
        <c:dLbls>
          <c:showLegendKey val="0"/>
          <c:showVal val="0"/>
          <c:showCatName val="0"/>
          <c:showSerName val="0"/>
          <c:showPercent val="0"/>
          <c:showBubbleSize val="0"/>
        </c:dLbls>
        <c:marker val="1"/>
        <c:smooth val="0"/>
        <c:axId val="427639928"/>
        <c:axId val="427635336"/>
      </c:lineChart>
      <c:catAx>
        <c:axId val="42763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27635336"/>
        <c:crosses val="autoZero"/>
        <c:auto val="1"/>
        <c:lblAlgn val="ctr"/>
        <c:lblOffset val="100"/>
        <c:noMultiLvlLbl val="0"/>
      </c:catAx>
      <c:valAx>
        <c:axId val="427635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Rate  per 10,000 children </a:t>
                </a:r>
              </a:p>
            </c:rich>
          </c:tx>
          <c:layout>
            <c:manualLayout>
              <c:xMode val="edge"/>
              <c:yMode val="edge"/>
              <c:x val="5.2824872999466164E-2"/>
              <c:y val="0.25630530902463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27639928"/>
        <c:crosses val="autoZero"/>
        <c:crossBetween val="between"/>
      </c:valAx>
      <c:spPr>
        <a:noFill/>
        <a:ln>
          <a:noFill/>
        </a:ln>
        <a:effectLst/>
      </c:spPr>
    </c:plotArea>
    <c:legend>
      <c:legendPos val="r"/>
      <c:layout>
        <c:manualLayout>
          <c:xMode val="edge"/>
          <c:yMode val="edge"/>
          <c:x val="9.9716820987654317E-2"/>
          <c:y val="0.85375162037037045"/>
          <c:w val="0.82344953703703705"/>
          <c:h val="0.108765509259259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2120284562285"/>
          <c:y val="0.1406742169651154"/>
          <c:w val="0.81025401682977083"/>
          <c:h val="0.6618365773585233"/>
        </c:manualLayout>
      </c:layout>
      <c:barChart>
        <c:barDir val="col"/>
        <c:grouping val="clustered"/>
        <c:varyColors val="0"/>
        <c:ser>
          <c:idx val="0"/>
          <c:order val="0"/>
          <c:tx>
            <c:strRef>
              <c:f>'CP PLans Age, Gender, Eth 3yrs'!$B$44</c:f>
              <c:strCache>
                <c:ptCount val="1"/>
                <c:pt idx="0">
                  <c:v>2017</c:v>
                </c:pt>
              </c:strCache>
            </c:strRef>
          </c:tx>
          <c:spPr>
            <a:solidFill>
              <a:schemeClr val="accent1"/>
            </a:solidFill>
            <a:ln>
              <a:noFill/>
            </a:ln>
            <a:effectLst/>
          </c:spPr>
          <c:invertIfNegative val="0"/>
          <c:cat>
            <c:strRef>
              <c:f>'CP PLans Age, Gender, Eth 3yrs'!$A$45:$A$50</c:f>
              <c:strCache>
                <c:ptCount val="6"/>
                <c:pt idx="0">
                  <c:v>Unborn</c:v>
                </c:pt>
                <c:pt idx="1">
                  <c:v>Under 1</c:v>
                </c:pt>
                <c:pt idx="2">
                  <c:v>1 to 4</c:v>
                </c:pt>
                <c:pt idx="3">
                  <c:v>5 to 9</c:v>
                </c:pt>
                <c:pt idx="4">
                  <c:v>10 to 15</c:v>
                </c:pt>
                <c:pt idx="5">
                  <c:v>16+</c:v>
                </c:pt>
              </c:strCache>
            </c:strRef>
          </c:cat>
          <c:val>
            <c:numRef>
              <c:f>'CP PLans Age, Gender, Eth 3yrs'!$B$45:$B$50</c:f>
              <c:numCache>
                <c:formatCode>General</c:formatCode>
                <c:ptCount val="6"/>
                <c:pt idx="0">
                  <c:v>7</c:v>
                </c:pt>
                <c:pt idx="1">
                  <c:v>37</c:v>
                </c:pt>
                <c:pt idx="2">
                  <c:v>124</c:v>
                </c:pt>
                <c:pt idx="3">
                  <c:v>143</c:v>
                </c:pt>
                <c:pt idx="4">
                  <c:v>112</c:v>
                </c:pt>
                <c:pt idx="5">
                  <c:v>11</c:v>
                </c:pt>
              </c:numCache>
            </c:numRef>
          </c:val>
          <c:extLst>
            <c:ext xmlns:c16="http://schemas.microsoft.com/office/drawing/2014/chart" uri="{C3380CC4-5D6E-409C-BE32-E72D297353CC}">
              <c16:uniqueId val="{00000000-64EF-4B25-9F84-3E1DDC5E7158}"/>
            </c:ext>
          </c:extLst>
        </c:ser>
        <c:ser>
          <c:idx val="1"/>
          <c:order val="1"/>
          <c:tx>
            <c:strRef>
              <c:f>'CP PLans Age, Gender, Eth 3yrs'!$C$44</c:f>
              <c:strCache>
                <c:ptCount val="1"/>
                <c:pt idx="0">
                  <c:v>2018</c:v>
                </c:pt>
              </c:strCache>
            </c:strRef>
          </c:tx>
          <c:spPr>
            <a:solidFill>
              <a:srgbClr val="C00000"/>
            </a:solidFill>
            <a:ln>
              <a:noFill/>
            </a:ln>
            <a:effectLst/>
          </c:spPr>
          <c:invertIfNegative val="0"/>
          <c:cat>
            <c:strRef>
              <c:f>'CP PLans Age, Gender, Eth 3yrs'!$A$45:$A$50</c:f>
              <c:strCache>
                <c:ptCount val="6"/>
                <c:pt idx="0">
                  <c:v>Unborn</c:v>
                </c:pt>
                <c:pt idx="1">
                  <c:v>Under 1</c:v>
                </c:pt>
                <c:pt idx="2">
                  <c:v>1 to 4</c:v>
                </c:pt>
                <c:pt idx="3">
                  <c:v>5 to 9</c:v>
                </c:pt>
                <c:pt idx="4">
                  <c:v>10 to 15</c:v>
                </c:pt>
                <c:pt idx="5">
                  <c:v>16+</c:v>
                </c:pt>
              </c:strCache>
            </c:strRef>
          </c:cat>
          <c:val>
            <c:numRef>
              <c:f>'CP PLans Age, Gender, Eth 3yrs'!$C$45:$C$50</c:f>
              <c:numCache>
                <c:formatCode>General</c:formatCode>
                <c:ptCount val="6"/>
                <c:pt idx="0">
                  <c:v>13</c:v>
                </c:pt>
                <c:pt idx="1">
                  <c:v>73</c:v>
                </c:pt>
                <c:pt idx="2">
                  <c:v>216</c:v>
                </c:pt>
                <c:pt idx="3">
                  <c:v>281</c:v>
                </c:pt>
                <c:pt idx="4">
                  <c:v>211</c:v>
                </c:pt>
                <c:pt idx="5">
                  <c:v>37</c:v>
                </c:pt>
              </c:numCache>
            </c:numRef>
          </c:val>
          <c:extLst>
            <c:ext xmlns:c16="http://schemas.microsoft.com/office/drawing/2014/chart" uri="{C3380CC4-5D6E-409C-BE32-E72D297353CC}">
              <c16:uniqueId val="{00000001-64EF-4B25-9F84-3E1DDC5E7158}"/>
            </c:ext>
          </c:extLst>
        </c:ser>
        <c:ser>
          <c:idx val="2"/>
          <c:order val="2"/>
          <c:tx>
            <c:strRef>
              <c:f>'CP PLans Age, Gender, Eth 3yrs'!$D$44</c:f>
              <c:strCache>
                <c:ptCount val="1"/>
                <c:pt idx="0">
                  <c:v>2019</c:v>
                </c:pt>
              </c:strCache>
            </c:strRef>
          </c:tx>
          <c:spPr>
            <a:solidFill>
              <a:schemeClr val="accent6"/>
            </a:solidFill>
            <a:ln>
              <a:noFill/>
            </a:ln>
            <a:effectLst/>
          </c:spPr>
          <c:invertIfNegative val="0"/>
          <c:cat>
            <c:strRef>
              <c:f>'CP PLans Age, Gender, Eth 3yrs'!$A$45:$A$50</c:f>
              <c:strCache>
                <c:ptCount val="6"/>
                <c:pt idx="0">
                  <c:v>Unborn</c:v>
                </c:pt>
                <c:pt idx="1">
                  <c:v>Under 1</c:v>
                </c:pt>
                <c:pt idx="2">
                  <c:v>1 to 4</c:v>
                </c:pt>
                <c:pt idx="3">
                  <c:v>5 to 9</c:v>
                </c:pt>
                <c:pt idx="4">
                  <c:v>10 to 15</c:v>
                </c:pt>
                <c:pt idx="5">
                  <c:v>16+</c:v>
                </c:pt>
              </c:strCache>
            </c:strRef>
          </c:cat>
          <c:val>
            <c:numRef>
              <c:f>'CP PLans Age, Gender, Eth 3yrs'!$D$45:$D$50</c:f>
              <c:numCache>
                <c:formatCode>General</c:formatCode>
                <c:ptCount val="6"/>
                <c:pt idx="0">
                  <c:v>17</c:v>
                </c:pt>
                <c:pt idx="1">
                  <c:v>45</c:v>
                </c:pt>
                <c:pt idx="2">
                  <c:v>156</c:v>
                </c:pt>
                <c:pt idx="3">
                  <c:v>187</c:v>
                </c:pt>
                <c:pt idx="4">
                  <c:v>157</c:v>
                </c:pt>
                <c:pt idx="5">
                  <c:v>22</c:v>
                </c:pt>
              </c:numCache>
            </c:numRef>
          </c:val>
          <c:extLst>
            <c:ext xmlns:c16="http://schemas.microsoft.com/office/drawing/2014/chart" uri="{C3380CC4-5D6E-409C-BE32-E72D297353CC}">
              <c16:uniqueId val="{00000002-64EF-4B25-9F84-3E1DDC5E7158}"/>
            </c:ext>
          </c:extLst>
        </c:ser>
        <c:dLbls>
          <c:showLegendKey val="0"/>
          <c:showVal val="0"/>
          <c:showCatName val="0"/>
          <c:showSerName val="0"/>
          <c:showPercent val="0"/>
          <c:showBubbleSize val="0"/>
        </c:dLbls>
        <c:gapWidth val="219"/>
        <c:overlap val="-27"/>
        <c:axId val="358715280"/>
        <c:axId val="358710360"/>
      </c:barChart>
      <c:catAx>
        <c:axId val="35871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58710360"/>
        <c:crosses val="autoZero"/>
        <c:auto val="1"/>
        <c:lblAlgn val="ctr"/>
        <c:lblOffset val="100"/>
        <c:noMultiLvlLbl val="0"/>
      </c:catAx>
      <c:valAx>
        <c:axId val="358710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58715280"/>
        <c:crosses val="autoZero"/>
        <c:crossBetween val="between"/>
      </c:valAx>
      <c:spPr>
        <a:noFill/>
        <a:ln>
          <a:noFill/>
        </a:ln>
        <a:effectLst/>
      </c:spPr>
    </c:plotArea>
    <c:legend>
      <c:legendPos val="r"/>
      <c:layout>
        <c:manualLayout>
          <c:xMode val="edge"/>
          <c:yMode val="edge"/>
          <c:x val="0.81098866395051838"/>
          <c:y val="8.0079089492695404E-2"/>
          <c:w val="0.11608908403875789"/>
          <c:h val="0.21831634399737299"/>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9182098765434"/>
          <c:y val="0.14619096876564402"/>
          <c:w val="0.74446851851851847"/>
          <c:h val="0.63858009381774783"/>
        </c:manualLayout>
      </c:layout>
      <c:barChart>
        <c:barDir val="col"/>
        <c:grouping val="clustered"/>
        <c:varyColors val="0"/>
        <c:ser>
          <c:idx val="1"/>
          <c:order val="1"/>
          <c:tx>
            <c:strRef>
              <c:f>'CIN, CP, LAC'!$K$6</c:f>
              <c:strCache>
                <c:ptCount val="1"/>
                <c:pt idx="0">
                  <c:v>Statistical Neighbours</c:v>
                </c:pt>
              </c:strCache>
            </c:strRef>
          </c:tx>
          <c:spPr>
            <a:solidFill>
              <a:schemeClr val="accent1"/>
            </a:solidFill>
            <a:ln>
              <a:no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LAC'!$K$30:$P$30</c:f>
              <c:numCache>
                <c:formatCode>General</c:formatCode>
                <c:ptCount val="6"/>
                <c:pt idx="0">
                  <c:v>89.2</c:v>
                </c:pt>
                <c:pt idx="1">
                  <c:v>88.6</c:v>
                </c:pt>
                <c:pt idx="2">
                  <c:v>86.4</c:v>
                </c:pt>
                <c:pt idx="3">
                  <c:v>86.6</c:v>
                </c:pt>
                <c:pt idx="4">
                  <c:v>89.5</c:v>
                </c:pt>
                <c:pt idx="5">
                  <c:v>93</c:v>
                </c:pt>
              </c:numCache>
            </c:numRef>
          </c:val>
          <c:extLst>
            <c:ext xmlns:c16="http://schemas.microsoft.com/office/drawing/2014/chart" uri="{C3380CC4-5D6E-409C-BE32-E72D297353CC}">
              <c16:uniqueId val="{00000000-639E-4D13-8CBE-E73470D7BAE5}"/>
            </c:ext>
          </c:extLst>
        </c:ser>
        <c:ser>
          <c:idx val="2"/>
          <c:order val="2"/>
          <c:tx>
            <c:strRef>
              <c:f>'CIN, CP, LAC'!$Q$6</c:f>
              <c:strCache>
                <c:ptCount val="1"/>
                <c:pt idx="0">
                  <c:v>England</c:v>
                </c:pt>
              </c:strCache>
            </c:strRef>
          </c:tx>
          <c:spPr>
            <a:solidFill>
              <a:srgbClr val="C00000"/>
            </a:solidFill>
            <a:ln>
              <a:no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LAC'!$Q$30:$V$30</c:f>
              <c:numCache>
                <c:formatCode>General</c:formatCode>
                <c:ptCount val="6"/>
                <c:pt idx="0">
                  <c:v>60</c:v>
                </c:pt>
                <c:pt idx="1">
                  <c:v>60</c:v>
                </c:pt>
                <c:pt idx="2">
                  <c:v>60</c:v>
                </c:pt>
                <c:pt idx="3">
                  <c:v>62</c:v>
                </c:pt>
                <c:pt idx="4">
                  <c:v>64</c:v>
                </c:pt>
                <c:pt idx="5">
                  <c:v>65</c:v>
                </c:pt>
              </c:numCache>
            </c:numRef>
          </c:val>
          <c:extLst>
            <c:ext xmlns:c16="http://schemas.microsoft.com/office/drawing/2014/chart" uri="{C3380CC4-5D6E-409C-BE32-E72D297353CC}">
              <c16:uniqueId val="{00000001-639E-4D13-8CBE-E73470D7BAE5}"/>
            </c:ext>
          </c:extLst>
        </c:ser>
        <c:ser>
          <c:idx val="3"/>
          <c:order val="3"/>
          <c:tx>
            <c:strRef>
              <c:f>'CIN, CP, LAC'!$W$6</c:f>
              <c:strCache>
                <c:ptCount val="1"/>
                <c:pt idx="0">
                  <c:v>West Midlands</c:v>
                </c:pt>
              </c:strCache>
            </c:strRef>
          </c:tx>
          <c:spPr>
            <a:solidFill>
              <a:schemeClr val="accent6"/>
            </a:solidFill>
            <a:ln>
              <a:noFill/>
            </a:ln>
            <a:effectLst/>
          </c:spPr>
          <c:invertIfNegative val="0"/>
          <c:cat>
            <c:strRef>
              <c:f>'CIN, CP, LAC'!$E$7:$J$7</c:f>
              <c:strCache>
                <c:ptCount val="6"/>
                <c:pt idx="0">
                  <c:v>2013-14</c:v>
                </c:pt>
                <c:pt idx="1">
                  <c:v>2014-15</c:v>
                </c:pt>
                <c:pt idx="2">
                  <c:v>2015-16</c:v>
                </c:pt>
                <c:pt idx="3">
                  <c:v>2016-17</c:v>
                </c:pt>
                <c:pt idx="4">
                  <c:v>2017-18</c:v>
                </c:pt>
                <c:pt idx="5">
                  <c:v>2018-19</c:v>
                </c:pt>
              </c:strCache>
            </c:strRef>
          </c:cat>
          <c:val>
            <c:numRef>
              <c:f>'CIN, CP, LAC'!$W$30:$AB$30</c:f>
              <c:numCache>
                <c:formatCode>General</c:formatCode>
                <c:ptCount val="6"/>
                <c:pt idx="0">
                  <c:v>73</c:v>
                </c:pt>
                <c:pt idx="1">
                  <c:v>74</c:v>
                </c:pt>
                <c:pt idx="2">
                  <c:v>73</c:v>
                </c:pt>
                <c:pt idx="3">
                  <c:v>75</c:v>
                </c:pt>
                <c:pt idx="4">
                  <c:v>78</c:v>
                </c:pt>
                <c:pt idx="5">
                  <c:v>82</c:v>
                </c:pt>
              </c:numCache>
            </c:numRef>
          </c:val>
          <c:extLst>
            <c:ext xmlns:c16="http://schemas.microsoft.com/office/drawing/2014/chart" uri="{C3380CC4-5D6E-409C-BE32-E72D297353CC}">
              <c16:uniqueId val="{00000002-639E-4D13-8CBE-E73470D7BAE5}"/>
            </c:ext>
          </c:extLst>
        </c:ser>
        <c:dLbls>
          <c:showLegendKey val="0"/>
          <c:showVal val="0"/>
          <c:showCatName val="0"/>
          <c:showSerName val="0"/>
          <c:showPercent val="0"/>
          <c:showBubbleSize val="0"/>
        </c:dLbls>
        <c:gapWidth val="150"/>
        <c:axId val="427639928"/>
        <c:axId val="427635336"/>
      </c:barChart>
      <c:lineChart>
        <c:grouping val="standard"/>
        <c:varyColors val="0"/>
        <c:ser>
          <c:idx val="0"/>
          <c:order val="0"/>
          <c:tx>
            <c:strRef>
              <c:f>'CIN, CP, LAC'!$E$6</c:f>
              <c:strCache>
                <c:ptCount val="1"/>
                <c:pt idx="0">
                  <c:v>Sandwell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'CIN, CP, LAC'!$E$7:$J$7</c:f>
              <c:strCache>
                <c:ptCount val="6"/>
                <c:pt idx="0">
                  <c:v>2013-14</c:v>
                </c:pt>
                <c:pt idx="1">
                  <c:v>2014-15</c:v>
                </c:pt>
                <c:pt idx="2">
                  <c:v>2015-16</c:v>
                </c:pt>
                <c:pt idx="3">
                  <c:v>2016-17</c:v>
                </c:pt>
                <c:pt idx="4">
                  <c:v>2017-18</c:v>
                </c:pt>
                <c:pt idx="5">
                  <c:v>2018-19</c:v>
                </c:pt>
              </c:strCache>
            </c:strRef>
          </c:cat>
          <c:val>
            <c:numRef>
              <c:f>'CIN, CP, LAC'!$E$30:$J$30</c:f>
              <c:numCache>
                <c:formatCode>0.0</c:formatCode>
                <c:ptCount val="6"/>
                <c:pt idx="0">
                  <c:v>74</c:v>
                </c:pt>
                <c:pt idx="1">
                  <c:v>69</c:v>
                </c:pt>
                <c:pt idx="2">
                  <c:v>68</c:v>
                </c:pt>
                <c:pt idx="3">
                  <c:v>76</c:v>
                </c:pt>
                <c:pt idx="4">
                  <c:v>92</c:v>
                </c:pt>
                <c:pt idx="5">
                  <c:v>109</c:v>
                </c:pt>
              </c:numCache>
            </c:numRef>
          </c:val>
          <c:smooth val="0"/>
          <c:extLst>
            <c:ext xmlns:c16="http://schemas.microsoft.com/office/drawing/2014/chart" uri="{C3380CC4-5D6E-409C-BE32-E72D297353CC}">
              <c16:uniqueId val="{00000003-639E-4D13-8CBE-E73470D7BAE5}"/>
            </c:ext>
          </c:extLst>
        </c:ser>
        <c:dLbls>
          <c:showLegendKey val="0"/>
          <c:showVal val="0"/>
          <c:showCatName val="0"/>
          <c:showSerName val="0"/>
          <c:showPercent val="0"/>
          <c:showBubbleSize val="0"/>
        </c:dLbls>
        <c:marker val="1"/>
        <c:smooth val="0"/>
        <c:axId val="427639928"/>
        <c:axId val="427635336"/>
      </c:lineChart>
      <c:catAx>
        <c:axId val="42763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27635336"/>
        <c:crosses val="autoZero"/>
        <c:auto val="1"/>
        <c:lblAlgn val="ctr"/>
        <c:lblOffset val="100"/>
        <c:noMultiLvlLbl val="0"/>
      </c:catAx>
      <c:valAx>
        <c:axId val="427635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Rate  per 10,000 children </a:t>
                </a:r>
              </a:p>
            </c:rich>
          </c:tx>
          <c:layout>
            <c:manualLayout>
              <c:xMode val="edge"/>
              <c:yMode val="edge"/>
              <c:x val="3.3226080246913578E-2"/>
              <c:y val="0.2533983353793351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27639928"/>
        <c:crosses val="autoZero"/>
        <c:crossBetween val="between"/>
      </c:valAx>
      <c:spPr>
        <a:noFill/>
        <a:ln>
          <a:noFill/>
        </a:ln>
        <a:effectLst/>
      </c:spPr>
    </c:plotArea>
    <c:legend>
      <c:legendPos val="r"/>
      <c:layout>
        <c:manualLayout>
          <c:xMode val="edge"/>
          <c:yMode val="edge"/>
          <c:x val="8.4037808641975312E-2"/>
          <c:y val="0.85742774195335314"/>
          <c:w val="0.84524104938271605"/>
          <c:h val="0.1110913746774485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42471476779689"/>
          <c:y val="0.10648148148148148"/>
          <c:w val="0.73168646127026327"/>
          <c:h val="0.61094634004082815"/>
        </c:manualLayout>
      </c:layout>
      <c:barChart>
        <c:barDir val="col"/>
        <c:grouping val="clustered"/>
        <c:varyColors val="0"/>
        <c:ser>
          <c:idx val="2"/>
          <c:order val="0"/>
          <c:tx>
            <c:strRef>
              <c:f>'Figure 3.9'!$G$2</c:f>
              <c:strCache>
                <c:ptCount val="1"/>
                <c:pt idx="0">
                  <c:v>Rate per 10,000</c:v>
                </c:pt>
              </c:strCache>
            </c:strRef>
          </c:tx>
          <c:spPr>
            <a:solidFill>
              <a:schemeClr val="accent1"/>
            </a:solidFill>
            <a:ln>
              <a:noFill/>
            </a:ln>
            <a:effectLst/>
          </c:spPr>
          <c:invertIfNegative val="0"/>
          <c:dPt>
            <c:idx val="6"/>
            <c:invertIfNegative val="0"/>
            <c:bubble3D val="0"/>
            <c:spPr>
              <a:solidFill>
                <a:srgbClr val="C00000"/>
              </a:solidFill>
              <a:ln>
                <a:noFill/>
              </a:ln>
              <a:effectLst/>
            </c:spPr>
            <c:extLst>
              <c:ext xmlns:c16="http://schemas.microsoft.com/office/drawing/2014/chart" uri="{C3380CC4-5D6E-409C-BE32-E72D297353CC}">
                <c16:uniqueId val="{00000001-D02A-44E9-ABC6-C339B6472E53}"/>
              </c:ext>
            </c:extLst>
          </c:dPt>
          <c:cat>
            <c:strRef>
              <c:f>[5]Summary!$F$29:$F$35</c:f>
              <c:strCache>
                <c:ptCount val="7"/>
                <c:pt idx="0">
                  <c:v>Oldbury</c:v>
                </c:pt>
                <c:pt idx="1">
                  <c:v>Rowley Regis</c:v>
                </c:pt>
                <c:pt idx="2">
                  <c:v>Smethwick</c:v>
                </c:pt>
                <c:pt idx="3">
                  <c:v>Tipton</c:v>
                </c:pt>
                <c:pt idx="4">
                  <c:v>Wednesbury</c:v>
                </c:pt>
                <c:pt idx="5">
                  <c:v>West Bromwich</c:v>
                </c:pt>
                <c:pt idx="6">
                  <c:v>SANDWELL</c:v>
                </c:pt>
              </c:strCache>
            </c:strRef>
          </c:cat>
          <c:val>
            <c:numRef>
              <c:f>'Figure 3.9'!$G$3:$G$9</c:f>
              <c:numCache>
                <c:formatCode>0.0</c:formatCode>
                <c:ptCount val="7"/>
                <c:pt idx="0">
                  <c:v>92.892633398142152</c:v>
                </c:pt>
                <c:pt idx="1">
                  <c:v>98.443223443223445</c:v>
                </c:pt>
                <c:pt idx="2">
                  <c:v>52.433229559233162</c:v>
                </c:pt>
                <c:pt idx="3">
                  <c:v>128.2051282051282</c:v>
                </c:pt>
                <c:pt idx="4">
                  <c:v>76.616610481152307</c:v>
                </c:pt>
                <c:pt idx="5">
                  <c:v>100.52447552447552</c:v>
                </c:pt>
                <c:pt idx="6">
                  <c:v>95.958026992509758</c:v>
                </c:pt>
              </c:numCache>
            </c:numRef>
          </c:val>
          <c:extLst>
            <c:ext xmlns:c16="http://schemas.microsoft.com/office/drawing/2014/chart" uri="{C3380CC4-5D6E-409C-BE32-E72D297353CC}">
              <c16:uniqueId val="{00000002-D02A-44E9-ABC6-C339B6472E53}"/>
            </c:ext>
          </c:extLst>
        </c:ser>
        <c:dLbls>
          <c:showLegendKey val="0"/>
          <c:showVal val="0"/>
          <c:showCatName val="0"/>
          <c:showSerName val="0"/>
          <c:showPercent val="0"/>
          <c:showBubbleSize val="0"/>
        </c:dLbls>
        <c:gapWidth val="80"/>
        <c:axId val="775157816"/>
        <c:axId val="775151912"/>
      </c:barChart>
      <c:catAx>
        <c:axId val="77515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5151912"/>
        <c:crosses val="autoZero"/>
        <c:auto val="1"/>
        <c:lblAlgn val="ctr"/>
        <c:lblOffset val="100"/>
        <c:noMultiLvlLbl val="0"/>
      </c:catAx>
      <c:valAx>
        <c:axId val="775151912"/>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Rate per 10,000 aged 0-5</a:t>
                </a:r>
              </a:p>
            </c:rich>
          </c:tx>
          <c:layout>
            <c:manualLayout>
              <c:xMode val="edge"/>
              <c:yMode val="edge"/>
              <c:x val="2.5588165115724166E-2"/>
              <c:y val="0.19296779391937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75157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3090330000885"/>
          <c:y val="7.8703703703703706E-2"/>
          <c:w val="0.6785025214544812"/>
          <c:h val="0.76531384097323052"/>
        </c:manualLayout>
      </c:layout>
      <c:barChart>
        <c:barDir val="bar"/>
        <c:grouping val="clustered"/>
        <c:varyColors val="0"/>
        <c:ser>
          <c:idx val="0"/>
          <c:order val="0"/>
          <c:tx>
            <c:strRef>
              <c:f>Sheet1!$B$1</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15 - 19 years</c:v>
                </c:pt>
                <c:pt idx="1">
                  <c:v>10 -14 years</c:v>
                </c:pt>
                <c:pt idx="2">
                  <c:v>5 - 9 years</c:v>
                </c:pt>
                <c:pt idx="3">
                  <c:v>1 - 4 years</c:v>
                </c:pt>
                <c:pt idx="4">
                  <c:v>1 - 12 months</c:v>
                </c:pt>
                <c:pt idx="5">
                  <c:v>7 days - 1 month</c:v>
                </c:pt>
                <c:pt idx="6">
                  <c:v>0-7 days</c:v>
                </c:pt>
              </c:strCache>
            </c:strRef>
          </c:cat>
          <c:val>
            <c:numRef>
              <c:f>Sheet1!$B$2:$B$8</c:f>
              <c:numCache>
                <c:formatCode>General</c:formatCode>
                <c:ptCount val="7"/>
                <c:pt idx="0">
                  <c:v>1</c:v>
                </c:pt>
                <c:pt idx="1">
                  <c:v>0</c:v>
                </c:pt>
                <c:pt idx="2">
                  <c:v>3</c:v>
                </c:pt>
                <c:pt idx="3">
                  <c:v>4</c:v>
                </c:pt>
                <c:pt idx="4">
                  <c:v>9</c:v>
                </c:pt>
                <c:pt idx="5">
                  <c:v>6</c:v>
                </c:pt>
                <c:pt idx="6">
                  <c:v>27</c:v>
                </c:pt>
              </c:numCache>
            </c:numRef>
          </c:val>
          <c:extLst>
            <c:ext xmlns:c16="http://schemas.microsoft.com/office/drawing/2014/chart" uri="{C3380CC4-5D6E-409C-BE32-E72D297353CC}">
              <c16:uniqueId val="{00000000-313F-44E5-85ED-4C6ED953C40B}"/>
            </c:ext>
          </c:extLst>
        </c:ser>
        <c:dLbls>
          <c:showLegendKey val="0"/>
          <c:showVal val="0"/>
          <c:showCatName val="0"/>
          <c:showSerName val="0"/>
          <c:showPercent val="0"/>
          <c:showBubbleSize val="0"/>
        </c:dLbls>
        <c:gapWidth val="60"/>
        <c:axId val="453304848"/>
        <c:axId val="453307144"/>
      </c:barChart>
      <c:catAx>
        <c:axId val="453304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3307144"/>
        <c:crosses val="autoZero"/>
        <c:auto val="1"/>
        <c:lblAlgn val="ctr"/>
        <c:lblOffset val="100"/>
        <c:noMultiLvlLbl val="0"/>
      </c:catAx>
      <c:valAx>
        <c:axId val="453307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53304848"/>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3090330000885"/>
          <c:y val="7.8703703703703706E-2"/>
          <c:w val="0.6785025214544812"/>
          <c:h val="0.76531384097323052"/>
        </c:manualLayout>
      </c:layout>
      <c:barChart>
        <c:barDir val="bar"/>
        <c:grouping val="clustered"/>
        <c:varyColors val="0"/>
        <c:ser>
          <c:idx val="0"/>
          <c:order val="0"/>
          <c:spPr>
            <a:solidFill>
              <a:schemeClr val="accent1"/>
            </a:solidFill>
            <a:ln>
              <a:noFill/>
            </a:ln>
            <a:effectLst/>
          </c:spPr>
          <c:invertIfNegative val="0"/>
          <c:cat>
            <c:strRef>
              <c:f>Sheet1!$A$29:$A$32</c:f>
              <c:strCache>
                <c:ptCount val="4"/>
                <c:pt idx="0">
                  <c:v>5 - 18 years</c:v>
                </c:pt>
                <c:pt idx="1">
                  <c:v>1 - 4 years</c:v>
                </c:pt>
                <c:pt idx="2">
                  <c:v>1 - 12 months</c:v>
                </c:pt>
                <c:pt idx="3">
                  <c:v>0 - 1 month</c:v>
                </c:pt>
              </c:strCache>
            </c:strRef>
          </c:cat>
          <c:val>
            <c:numRef>
              <c:f>Sheet1!$B$29:$B$32</c:f>
              <c:numCache>
                <c:formatCode>General</c:formatCode>
                <c:ptCount val="4"/>
                <c:pt idx="0">
                  <c:v>1</c:v>
                </c:pt>
                <c:pt idx="1">
                  <c:v>2</c:v>
                </c:pt>
                <c:pt idx="2">
                  <c:v>2</c:v>
                </c:pt>
                <c:pt idx="3">
                  <c:v>3</c:v>
                </c:pt>
              </c:numCache>
            </c:numRef>
          </c:val>
          <c:extLst>
            <c:ext xmlns:c16="http://schemas.microsoft.com/office/drawing/2014/chart" uri="{C3380CC4-5D6E-409C-BE32-E72D297353CC}">
              <c16:uniqueId val="{00000000-A06E-4549-842F-25AFD1B2645A}"/>
            </c:ext>
          </c:extLst>
        </c:ser>
        <c:dLbls>
          <c:showLegendKey val="0"/>
          <c:showVal val="0"/>
          <c:showCatName val="0"/>
          <c:showSerName val="0"/>
          <c:showPercent val="0"/>
          <c:showBubbleSize val="0"/>
        </c:dLbls>
        <c:gapWidth val="60"/>
        <c:axId val="453304848"/>
        <c:axId val="453307144"/>
      </c:barChart>
      <c:catAx>
        <c:axId val="453304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3307144"/>
        <c:crosses val="autoZero"/>
        <c:auto val="1"/>
        <c:lblAlgn val="ctr"/>
        <c:lblOffset val="100"/>
        <c:noMultiLvlLbl val="0"/>
      </c:catAx>
      <c:valAx>
        <c:axId val="453307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533048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3010415553259"/>
          <c:y val="8.2796781549847251E-2"/>
          <c:w val="0.808052952656936"/>
          <c:h val="0.75184309118618242"/>
        </c:manualLayout>
      </c:layout>
      <c:scatterChart>
        <c:scatterStyle val="lineMarker"/>
        <c:varyColors val="0"/>
        <c:ser>
          <c:idx val="0"/>
          <c:order val="0"/>
          <c:tx>
            <c:strRef>
              <c:f>Sheet3!$B$37</c:f>
              <c:strCache>
                <c:ptCount val="1"/>
                <c:pt idx="0">
                  <c:v>Sandwell</c:v>
                </c:pt>
              </c:strCache>
            </c:strRef>
          </c:tx>
          <c:spPr>
            <a:ln w="9525" cap="rnd">
              <a:solidFill>
                <a:schemeClr val="accent6"/>
              </a:solidFill>
              <a:round/>
            </a:ln>
            <a:effectLst/>
          </c:spPr>
          <c:marker>
            <c:symbol val="circl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c:spPr>
          </c:marker>
          <c:xVal>
            <c:numRef>
              <c:f>Sheet3!$A$38:$A$55</c:f>
              <c:numCache>
                <c:formatCode>General</c:formatCode>
                <c:ptCount val="18"/>
                <c:pt idx="0">
                  <c:v>2018</c:v>
                </c:pt>
                <c:pt idx="1">
                  <c:v>2017</c:v>
                </c:pt>
                <c:pt idx="2">
                  <c:v>2016</c:v>
                </c:pt>
                <c:pt idx="3">
                  <c:v>2015</c:v>
                </c:pt>
                <c:pt idx="4">
                  <c:v>2014</c:v>
                </c:pt>
                <c:pt idx="5">
                  <c:v>2013</c:v>
                </c:pt>
                <c:pt idx="6">
                  <c:v>2012</c:v>
                </c:pt>
                <c:pt idx="7">
                  <c:v>2011</c:v>
                </c:pt>
                <c:pt idx="8">
                  <c:v>2010</c:v>
                </c:pt>
                <c:pt idx="9">
                  <c:v>2009</c:v>
                </c:pt>
                <c:pt idx="10">
                  <c:v>2008</c:v>
                </c:pt>
                <c:pt idx="11">
                  <c:v>2007</c:v>
                </c:pt>
                <c:pt idx="12">
                  <c:v>2006</c:v>
                </c:pt>
                <c:pt idx="13">
                  <c:v>2005</c:v>
                </c:pt>
                <c:pt idx="14">
                  <c:v>2004</c:v>
                </c:pt>
                <c:pt idx="15">
                  <c:v>2003</c:v>
                </c:pt>
                <c:pt idx="16">
                  <c:v>2002</c:v>
                </c:pt>
                <c:pt idx="17">
                  <c:v>2001</c:v>
                </c:pt>
              </c:numCache>
            </c:numRef>
          </c:xVal>
          <c:yVal>
            <c:numRef>
              <c:f>Sheet3!$B$38:$B$55</c:f>
              <c:numCache>
                <c:formatCode>#,##0.0</c:formatCode>
                <c:ptCount val="18"/>
                <c:pt idx="0" formatCode="General">
                  <c:v>37.299999999999997</c:v>
                </c:pt>
                <c:pt idx="1">
                  <c:v>37.299999999999997</c:v>
                </c:pt>
                <c:pt idx="2" formatCode="0.0">
                  <c:v>34.799999999999997</c:v>
                </c:pt>
                <c:pt idx="3" formatCode="0.0">
                  <c:v>31.9</c:v>
                </c:pt>
                <c:pt idx="4" formatCode="0.0">
                  <c:v>32</c:v>
                </c:pt>
                <c:pt idx="5" formatCode="0.0">
                  <c:v>32.299999999999997</c:v>
                </c:pt>
                <c:pt idx="6" formatCode="0.0">
                  <c:v>29.9</c:v>
                </c:pt>
                <c:pt idx="7">
                  <c:v>30.1</c:v>
                </c:pt>
                <c:pt idx="8">
                  <c:v>30.4</c:v>
                </c:pt>
                <c:pt idx="9">
                  <c:v>29</c:v>
                </c:pt>
                <c:pt idx="10" formatCode="_-* #,##0.0_-;\-* #,##0.0_-;_-* &quot;-&quot;??_-;_-@_-">
                  <c:v>29</c:v>
                </c:pt>
                <c:pt idx="11" formatCode="_-* #,##0.0_-;\-* #,##0.0_-;_-* &quot;-&quot;??_-;_-@_-">
                  <c:v>26.7</c:v>
                </c:pt>
                <c:pt idx="12">
                  <c:v>25.6</c:v>
                </c:pt>
                <c:pt idx="13">
                  <c:v>24.1</c:v>
                </c:pt>
                <c:pt idx="14">
                  <c:v>22.8</c:v>
                </c:pt>
                <c:pt idx="15">
                  <c:v>21.2</c:v>
                </c:pt>
                <c:pt idx="16">
                  <c:v>20.2</c:v>
                </c:pt>
                <c:pt idx="17">
                  <c:v>18.3</c:v>
                </c:pt>
              </c:numCache>
            </c:numRef>
          </c:yVal>
          <c:smooth val="0"/>
          <c:extLst>
            <c:ext xmlns:c16="http://schemas.microsoft.com/office/drawing/2014/chart" uri="{C3380CC4-5D6E-409C-BE32-E72D297353CC}">
              <c16:uniqueId val="{00000000-0149-43AE-BC9C-E1BEE8EB86B1}"/>
            </c:ext>
          </c:extLst>
        </c:ser>
        <c:ser>
          <c:idx val="1"/>
          <c:order val="1"/>
          <c:tx>
            <c:strRef>
              <c:f>Sheet3!$C$37</c:f>
              <c:strCache>
                <c:ptCount val="1"/>
                <c:pt idx="0">
                  <c:v>West midlands (met county)</c:v>
                </c:pt>
              </c:strCache>
            </c:strRef>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xVal>
            <c:numRef>
              <c:f>Sheet3!$A$38:$A$55</c:f>
              <c:numCache>
                <c:formatCode>General</c:formatCode>
                <c:ptCount val="18"/>
                <c:pt idx="0">
                  <c:v>2018</c:v>
                </c:pt>
                <c:pt idx="1">
                  <c:v>2017</c:v>
                </c:pt>
                <c:pt idx="2">
                  <c:v>2016</c:v>
                </c:pt>
                <c:pt idx="3">
                  <c:v>2015</c:v>
                </c:pt>
                <c:pt idx="4">
                  <c:v>2014</c:v>
                </c:pt>
                <c:pt idx="5">
                  <c:v>2013</c:v>
                </c:pt>
                <c:pt idx="6">
                  <c:v>2012</c:v>
                </c:pt>
                <c:pt idx="7">
                  <c:v>2011</c:v>
                </c:pt>
                <c:pt idx="8">
                  <c:v>2010</c:v>
                </c:pt>
                <c:pt idx="9">
                  <c:v>2009</c:v>
                </c:pt>
                <c:pt idx="10">
                  <c:v>2008</c:v>
                </c:pt>
                <c:pt idx="11">
                  <c:v>2007</c:v>
                </c:pt>
                <c:pt idx="12">
                  <c:v>2006</c:v>
                </c:pt>
                <c:pt idx="13">
                  <c:v>2005</c:v>
                </c:pt>
                <c:pt idx="14">
                  <c:v>2004</c:v>
                </c:pt>
                <c:pt idx="15">
                  <c:v>2003</c:v>
                </c:pt>
                <c:pt idx="16">
                  <c:v>2002</c:v>
                </c:pt>
                <c:pt idx="17">
                  <c:v>2001</c:v>
                </c:pt>
              </c:numCache>
            </c:numRef>
          </c:xVal>
          <c:yVal>
            <c:numRef>
              <c:f>Sheet3!$C$38:$C$55</c:f>
              <c:numCache>
                <c:formatCode>General</c:formatCode>
                <c:ptCount val="18"/>
                <c:pt idx="0">
                  <c:v>34.9</c:v>
                </c:pt>
                <c:pt idx="1">
                  <c:v>34</c:v>
                </c:pt>
                <c:pt idx="2">
                  <c:v>33.6</c:v>
                </c:pt>
                <c:pt idx="3">
                  <c:v>32.4</c:v>
                </c:pt>
                <c:pt idx="4">
                  <c:v>31.7</c:v>
                </c:pt>
                <c:pt idx="5">
                  <c:v>31.2</c:v>
                </c:pt>
                <c:pt idx="6">
                  <c:v>30.3</c:v>
                </c:pt>
                <c:pt idx="7">
                  <c:v>30.3</c:v>
                </c:pt>
                <c:pt idx="8">
                  <c:v>30</c:v>
                </c:pt>
                <c:pt idx="9">
                  <c:v>30.1</c:v>
                </c:pt>
                <c:pt idx="10">
                  <c:v>29.8</c:v>
                </c:pt>
                <c:pt idx="11">
                  <c:v>28.9</c:v>
                </c:pt>
                <c:pt idx="12">
                  <c:v>27.6</c:v>
                </c:pt>
                <c:pt idx="13">
                  <c:v>26.5</c:v>
                </c:pt>
                <c:pt idx="14">
                  <c:v>25.1</c:v>
                </c:pt>
                <c:pt idx="15">
                  <c:v>24</c:v>
                </c:pt>
                <c:pt idx="16">
                  <c:v>23.2</c:v>
                </c:pt>
                <c:pt idx="17">
                  <c:v>21.3</c:v>
                </c:pt>
              </c:numCache>
            </c:numRef>
          </c:yVal>
          <c:smooth val="0"/>
          <c:extLst>
            <c:ext xmlns:c16="http://schemas.microsoft.com/office/drawing/2014/chart" uri="{C3380CC4-5D6E-409C-BE32-E72D297353CC}">
              <c16:uniqueId val="{00000001-0149-43AE-BC9C-E1BEE8EB86B1}"/>
            </c:ext>
          </c:extLst>
        </c:ser>
        <c:ser>
          <c:idx val="2"/>
          <c:order val="2"/>
          <c:tx>
            <c:strRef>
              <c:f>Sheet3!$D$37</c:f>
              <c:strCache>
                <c:ptCount val="1"/>
                <c:pt idx="0">
                  <c:v>England</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Sheet3!$A$38:$A$55</c:f>
              <c:numCache>
                <c:formatCode>General</c:formatCode>
                <c:ptCount val="18"/>
                <c:pt idx="0">
                  <c:v>2018</c:v>
                </c:pt>
                <c:pt idx="1">
                  <c:v>2017</c:v>
                </c:pt>
                <c:pt idx="2">
                  <c:v>2016</c:v>
                </c:pt>
                <c:pt idx="3">
                  <c:v>2015</c:v>
                </c:pt>
                <c:pt idx="4">
                  <c:v>2014</c:v>
                </c:pt>
                <c:pt idx="5">
                  <c:v>2013</c:v>
                </c:pt>
                <c:pt idx="6">
                  <c:v>2012</c:v>
                </c:pt>
                <c:pt idx="7">
                  <c:v>2011</c:v>
                </c:pt>
                <c:pt idx="8">
                  <c:v>2010</c:v>
                </c:pt>
                <c:pt idx="9">
                  <c:v>2009</c:v>
                </c:pt>
                <c:pt idx="10">
                  <c:v>2008</c:v>
                </c:pt>
                <c:pt idx="11">
                  <c:v>2007</c:v>
                </c:pt>
                <c:pt idx="12">
                  <c:v>2006</c:v>
                </c:pt>
                <c:pt idx="13">
                  <c:v>2005</c:v>
                </c:pt>
                <c:pt idx="14">
                  <c:v>2004</c:v>
                </c:pt>
                <c:pt idx="15">
                  <c:v>2003</c:v>
                </c:pt>
                <c:pt idx="16">
                  <c:v>2002</c:v>
                </c:pt>
                <c:pt idx="17">
                  <c:v>2001</c:v>
                </c:pt>
              </c:numCache>
            </c:numRef>
          </c:xVal>
          <c:yVal>
            <c:numRef>
              <c:f>Sheet3!$D$38:$D$55</c:f>
              <c:numCache>
                <c:formatCode>_-* #,##0_-;\-* #,##0_-;_-* "-"??_-;_-@_-</c:formatCode>
                <c:ptCount val="18"/>
                <c:pt idx="0">
                  <c:v>29.1</c:v>
                </c:pt>
                <c:pt idx="1">
                  <c:v>29.2</c:v>
                </c:pt>
                <c:pt idx="2">
                  <c:v>29</c:v>
                </c:pt>
                <c:pt idx="3">
                  <c:v>28.4</c:v>
                </c:pt>
                <c:pt idx="4">
                  <c:v>27.8</c:v>
                </c:pt>
                <c:pt idx="5">
                  <c:v>27.3</c:v>
                </c:pt>
                <c:pt idx="6">
                  <c:v>26.7</c:v>
                </c:pt>
                <c:pt idx="7">
                  <c:v>26.2</c:v>
                </c:pt>
                <c:pt idx="8">
                  <c:v>25.9</c:v>
                </c:pt>
                <c:pt idx="9">
                  <c:v>25.4</c:v>
                </c:pt>
                <c:pt idx="10">
                  <c:v>24.9</c:v>
                </c:pt>
                <c:pt idx="11">
                  <c:v>24</c:v>
                </c:pt>
                <c:pt idx="12">
                  <c:v>22.7</c:v>
                </c:pt>
                <c:pt idx="13">
                  <c:v>21.5</c:v>
                </c:pt>
                <c:pt idx="14">
                  <c:v>20.100000000000001</c:v>
                </c:pt>
                <c:pt idx="15">
                  <c:v>19.2</c:v>
                </c:pt>
                <c:pt idx="16">
                  <c:v>18.3</c:v>
                </c:pt>
                <c:pt idx="17">
                  <c:v>17.100000000000001</c:v>
                </c:pt>
              </c:numCache>
            </c:numRef>
          </c:yVal>
          <c:smooth val="0"/>
          <c:extLst>
            <c:ext xmlns:c16="http://schemas.microsoft.com/office/drawing/2014/chart" uri="{C3380CC4-5D6E-409C-BE32-E72D297353CC}">
              <c16:uniqueId val="{00000002-0149-43AE-BC9C-E1BEE8EB86B1}"/>
            </c:ext>
          </c:extLst>
        </c:ser>
        <c:dLbls>
          <c:showLegendKey val="0"/>
          <c:showVal val="0"/>
          <c:showCatName val="0"/>
          <c:showSerName val="0"/>
          <c:showPercent val="0"/>
          <c:showBubbleSize val="0"/>
        </c:dLbls>
        <c:axId val="291063992"/>
        <c:axId val="291063008"/>
      </c:scatterChart>
      <c:valAx>
        <c:axId val="291063992"/>
        <c:scaling>
          <c:orientation val="minMax"/>
          <c:min val="2001"/>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en-GB" sz="1200" b="0"/>
                  <a:t>Year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crossAx val="291063008"/>
        <c:crosses val="autoZero"/>
        <c:crossBetween val="midCat"/>
      </c:valAx>
      <c:valAx>
        <c:axId val="2910630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en-GB" sz="1200" b="0"/>
                  <a:t>% of live births</a:t>
                </a:r>
              </a:p>
            </c:rich>
          </c:tx>
          <c:layout>
            <c:manualLayout>
              <c:xMode val="edge"/>
              <c:yMode val="edge"/>
              <c:x val="1.4105212473841668E-2"/>
              <c:y val="0.331424889933113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crossAx val="291063992"/>
        <c:crosses val="autoZero"/>
        <c:crossBetween val="midCat"/>
      </c:valAx>
      <c:spPr>
        <a:noFill/>
        <a:ln>
          <a:noFill/>
        </a:ln>
        <a:effectLst/>
      </c:spPr>
    </c:plotArea>
    <c:legend>
      <c:legendPos val="b"/>
      <c:layout>
        <c:manualLayout>
          <c:xMode val="edge"/>
          <c:yMode val="edge"/>
          <c:x val="0.49918480658808539"/>
          <c:y val="0.49476732495131664"/>
          <c:w val="0.3728765870001145"/>
          <c:h val="0.20189151003302006"/>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endParaRPr lang="en-GB" sz="1200">
              <a:effectLst/>
            </a:endParaRPr>
          </a:p>
        </c:rich>
      </c:tx>
      <c:layout>
        <c:manualLayout>
          <c:xMode val="edge"/>
          <c:yMode val="edge"/>
          <c:x val="0.19971787031775667"/>
          <c:y val="5.027006661174288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38685589833187"/>
          <c:y val="0.17126146999381558"/>
          <c:w val="0.7125473677492441"/>
          <c:h val="0.58246411419542121"/>
        </c:manualLayout>
      </c:layout>
      <c:barChart>
        <c:barDir val="col"/>
        <c:grouping val="clustered"/>
        <c:varyColors val="0"/>
        <c:ser>
          <c:idx val="1"/>
          <c:order val="0"/>
          <c:tx>
            <c:strRef>
              <c:f>'IS caseload analysis'!$C$5</c:f>
              <c:strCache>
                <c:ptCount val="1"/>
                <c:pt idx="0">
                  <c:v>Total number of boys</c:v>
                </c:pt>
              </c:strCache>
            </c:strRef>
          </c:tx>
          <c:spPr>
            <a:solidFill>
              <a:schemeClr val="accent5">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analysis'!$A$6:$A$10</c:f>
              <c:strCache>
                <c:ptCount val="5"/>
                <c:pt idx="0">
                  <c:v>2014-15</c:v>
                </c:pt>
                <c:pt idx="1">
                  <c:v>2015-16</c:v>
                </c:pt>
                <c:pt idx="2">
                  <c:v>2016-17</c:v>
                </c:pt>
                <c:pt idx="3">
                  <c:v>2017-18</c:v>
                </c:pt>
                <c:pt idx="4">
                  <c:v>2018-19</c:v>
                </c:pt>
              </c:strCache>
            </c:strRef>
          </c:cat>
          <c:val>
            <c:numRef>
              <c:f>'IS caseload analysis'!$C$6:$C$10</c:f>
              <c:numCache>
                <c:formatCode>General</c:formatCode>
                <c:ptCount val="5"/>
                <c:pt idx="0">
                  <c:v>180</c:v>
                </c:pt>
                <c:pt idx="1">
                  <c:v>181</c:v>
                </c:pt>
                <c:pt idx="2">
                  <c:v>260</c:v>
                </c:pt>
                <c:pt idx="3">
                  <c:v>209</c:v>
                </c:pt>
                <c:pt idx="4">
                  <c:v>269</c:v>
                </c:pt>
              </c:numCache>
            </c:numRef>
          </c:val>
          <c:extLst>
            <c:ext xmlns:c16="http://schemas.microsoft.com/office/drawing/2014/chart" uri="{C3380CC4-5D6E-409C-BE32-E72D297353CC}">
              <c16:uniqueId val="{00000000-774B-42E1-9CB9-AF43AF5FB1DA}"/>
            </c:ext>
          </c:extLst>
        </c:ser>
        <c:ser>
          <c:idx val="0"/>
          <c:order val="1"/>
          <c:tx>
            <c:strRef>
              <c:f>'IS caseload analysis'!$B$5</c:f>
              <c:strCache>
                <c:ptCount val="1"/>
                <c:pt idx="0">
                  <c:v>Total number of girls</c:v>
                </c:pt>
              </c:strCache>
            </c:strRef>
          </c:tx>
          <c:spPr>
            <a:solidFill>
              <a:srgbClr val="FFCCFF"/>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analysis'!$A$6:$A$10</c:f>
              <c:strCache>
                <c:ptCount val="5"/>
                <c:pt idx="0">
                  <c:v>2014-15</c:v>
                </c:pt>
                <c:pt idx="1">
                  <c:v>2015-16</c:v>
                </c:pt>
                <c:pt idx="2">
                  <c:v>2016-17</c:v>
                </c:pt>
                <c:pt idx="3">
                  <c:v>2017-18</c:v>
                </c:pt>
                <c:pt idx="4">
                  <c:v>2018-19</c:v>
                </c:pt>
              </c:strCache>
            </c:strRef>
          </c:cat>
          <c:val>
            <c:numRef>
              <c:f>'IS caseload analysis'!$B$6:$B$10</c:f>
              <c:numCache>
                <c:formatCode>General</c:formatCode>
                <c:ptCount val="5"/>
                <c:pt idx="0">
                  <c:v>81</c:v>
                </c:pt>
                <c:pt idx="1">
                  <c:v>58</c:v>
                </c:pt>
                <c:pt idx="2">
                  <c:v>121</c:v>
                </c:pt>
                <c:pt idx="3">
                  <c:v>93</c:v>
                </c:pt>
                <c:pt idx="4">
                  <c:v>120</c:v>
                </c:pt>
              </c:numCache>
            </c:numRef>
          </c:val>
          <c:extLst>
            <c:ext xmlns:c16="http://schemas.microsoft.com/office/drawing/2014/chart" uri="{C3380CC4-5D6E-409C-BE32-E72D297353CC}">
              <c16:uniqueId val="{00000001-774B-42E1-9CB9-AF43AF5FB1DA}"/>
            </c:ext>
          </c:extLst>
        </c:ser>
        <c:dLbls>
          <c:showLegendKey val="0"/>
          <c:showVal val="0"/>
          <c:showCatName val="0"/>
          <c:showSerName val="0"/>
          <c:showPercent val="0"/>
          <c:showBubbleSize val="0"/>
        </c:dLbls>
        <c:gapWidth val="150"/>
        <c:axId val="731513400"/>
        <c:axId val="731515368"/>
      </c:barChart>
      <c:lineChart>
        <c:grouping val="standard"/>
        <c:varyColors val="0"/>
        <c:ser>
          <c:idx val="2"/>
          <c:order val="2"/>
          <c:tx>
            <c:strRef>
              <c:f>'IS caseload analysis'!$E$5</c:f>
              <c:strCache>
                <c:ptCount val="1"/>
                <c:pt idx="0">
                  <c:v>% Boys</c:v>
                </c:pt>
              </c:strCache>
            </c:strRef>
          </c:tx>
          <c:spPr>
            <a:ln w="28575" cap="rnd">
              <a:solidFill>
                <a:srgbClr val="00B0F0"/>
              </a:solidFill>
              <a:prstDash val="dash"/>
              <a:round/>
            </a:ln>
            <a:effectLst/>
          </c:spPr>
          <c:marker>
            <c:symbol val="star"/>
            <c:size val="12"/>
            <c:spPr>
              <a:noFill/>
              <a:ln w="9525">
                <a:solidFill>
                  <a:srgbClr val="00B0F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analysis'!$A$6:$A$10</c:f>
              <c:strCache>
                <c:ptCount val="5"/>
                <c:pt idx="0">
                  <c:v>2014-15</c:v>
                </c:pt>
                <c:pt idx="1">
                  <c:v>2015-16</c:v>
                </c:pt>
                <c:pt idx="2">
                  <c:v>2016-17</c:v>
                </c:pt>
                <c:pt idx="3">
                  <c:v>2017-18</c:v>
                </c:pt>
                <c:pt idx="4">
                  <c:v>2018-19</c:v>
                </c:pt>
              </c:strCache>
            </c:strRef>
          </c:cat>
          <c:val>
            <c:numRef>
              <c:f>'IS caseload analysis'!$E$6:$E$10</c:f>
              <c:numCache>
                <c:formatCode>0%</c:formatCode>
                <c:ptCount val="5"/>
                <c:pt idx="0">
                  <c:v>0.68965517241379315</c:v>
                </c:pt>
                <c:pt idx="1">
                  <c:v>0.75732217573221761</c:v>
                </c:pt>
                <c:pt idx="2">
                  <c:v>0.6824146981627297</c:v>
                </c:pt>
                <c:pt idx="3">
                  <c:v>0.69205298013245031</c:v>
                </c:pt>
                <c:pt idx="4">
                  <c:v>0.69151670951156807</c:v>
                </c:pt>
              </c:numCache>
            </c:numRef>
          </c:val>
          <c:smooth val="0"/>
          <c:extLst>
            <c:ext xmlns:c16="http://schemas.microsoft.com/office/drawing/2014/chart" uri="{C3380CC4-5D6E-409C-BE32-E72D297353CC}">
              <c16:uniqueId val="{00000002-774B-42E1-9CB9-AF43AF5FB1DA}"/>
            </c:ext>
          </c:extLst>
        </c:ser>
        <c:ser>
          <c:idx val="3"/>
          <c:order val="3"/>
          <c:tx>
            <c:strRef>
              <c:f>'IS caseload analysis'!$F$5</c:f>
              <c:strCache>
                <c:ptCount val="1"/>
                <c:pt idx="0">
                  <c:v>% Girls</c:v>
                </c:pt>
              </c:strCache>
            </c:strRef>
          </c:tx>
          <c:spPr>
            <a:ln w="28575" cap="sq">
              <a:solidFill>
                <a:srgbClr val="FF99CC"/>
              </a:solidFill>
              <a:prstDash val="dash"/>
              <a:miter lim="800000"/>
              <a:headEnd type="oval"/>
            </a:ln>
            <a:effectLst/>
          </c:spPr>
          <c:marker>
            <c:symbol val="star"/>
            <c:size val="14"/>
            <c:spPr>
              <a:noFill/>
              <a:ln w="9525">
                <a:solidFill>
                  <a:srgbClr val="FF99CC"/>
                </a:solidFill>
              </a:ln>
              <a:effectLst/>
            </c:spPr>
          </c:marker>
          <c:dLbls>
            <c:dLbl>
              <c:idx val="0"/>
              <c:layout>
                <c:manualLayout>
                  <c:x val="-2.9103850940345934E-2"/>
                  <c:y val="-3.0035774840433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4B-42E1-9CB9-AF43AF5FB1DA}"/>
                </c:ext>
              </c:extLst>
            </c:dLbl>
            <c:dLbl>
              <c:idx val="1"/>
              <c:layout>
                <c:manualLayout>
                  <c:x val="-4.0920689935914585E-2"/>
                  <c:y val="-4.1309731999396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4B-42E1-9CB9-AF43AF5FB1DA}"/>
                </c:ext>
              </c:extLst>
            </c:dLbl>
            <c:dLbl>
              <c:idx val="2"/>
              <c:layout>
                <c:manualLayout>
                  <c:x val="-4.0920689935914585E-2"/>
                  <c:y val="-4.1309731999396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4B-42E1-9CB9-AF43AF5FB1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 caseload analysis'!$A$6:$A$10</c:f>
              <c:strCache>
                <c:ptCount val="5"/>
                <c:pt idx="0">
                  <c:v>2014-15</c:v>
                </c:pt>
                <c:pt idx="1">
                  <c:v>2015-16</c:v>
                </c:pt>
                <c:pt idx="2">
                  <c:v>2016-17</c:v>
                </c:pt>
                <c:pt idx="3">
                  <c:v>2017-18</c:v>
                </c:pt>
                <c:pt idx="4">
                  <c:v>2018-19</c:v>
                </c:pt>
              </c:strCache>
            </c:strRef>
          </c:cat>
          <c:val>
            <c:numRef>
              <c:f>'IS caseload analysis'!$F$6:$F$10</c:f>
              <c:numCache>
                <c:formatCode>0%</c:formatCode>
                <c:ptCount val="5"/>
                <c:pt idx="0">
                  <c:v>0.31034482758620691</c:v>
                </c:pt>
                <c:pt idx="1">
                  <c:v>0.24267782426778242</c:v>
                </c:pt>
                <c:pt idx="2">
                  <c:v>0.31758530183727035</c:v>
                </c:pt>
                <c:pt idx="3">
                  <c:v>0.30794701986754969</c:v>
                </c:pt>
                <c:pt idx="4">
                  <c:v>0.30848329048843187</c:v>
                </c:pt>
              </c:numCache>
            </c:numRef>
          </c:val>
          <c:smooth val="0"/>
          <c:extLst>
            <c:ext xmlns:c16="http://schemas.microsoft.com/office/drawing/2014/chart" uri="{C3380CC4-5D6E-409C-BE32-E72D297353CC}">
              <c16:uniqueId val="{00000006-774B-42E1-9CB9-AF43AF5FB1DA}"/>
            </c:ext>
          </c:extLst>
        </c:ser>
        <c:dLbls>
          <c:showLegendKey val="0"/>
          <c:showVal val="0"/>
          <c:showCatName val="0"/>
          <c:showSerName val="0"/>
          <c:showPercent val="0"/>
          <c:showBubbleSize val="0"/>
        </c:dLbls>
        <c:marker val="1"/>
        <c:smooth val="0"/>
        <c:axId val="708707520"/>
        <c:axId val="708706208"/>
      </c:lineChart>
      <c:catAx>
        <c:axId val="731513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515368"/>
        <c:crosses val="autoZero"/>
        <c:auto val="1"/>
        <c:lblAlgn val="ctr"/>
        <c:lblOffset val="100"/>
        <c:noMultiLvlLbl val="0"/>
      </c:catAx>
      <c:valAx>
        <c:axId val="731515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Number</a:t>
                </a:r>
                <a:r>
                  <a:rPr lang="en-GB" sz="1200" baseline="0"/>
                  <a:t> of children</a:t>
                </a:r>
                <a:endParaRPr lang="en-GB" sz="1200"/>
              </a:p>
            </c:rich>
          </c:tx>
          <c:layout>
            <c:manualLayout>
              <c:xMode val="edge"/>
              <c:yMode val="edge"/>
              <c:x val="5.678577411866071E-2"/>
              <c:y val="0.3347030747424892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513400"/>
        <c:crosses val="autoZero"/>
        <c:crossBetween val="between"/>
      </c:valAx>
      <c:valAx>
        <c:axId val="7087062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boys and girls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707520"/>
        <c:crosses val="max"/>
        <c:crossBetween val="between"/>
      </c:valAx>
      <c:catAx>
        <c:axId val="708707520"/>
        <c:scaling>
          <c:orientation val="minMax"/>
        </c:scaling>
        <c:delete val="1"/>
        <c:axPos val="b"/>
        <c:numFmt formatCode="General" sourceLinked="1"/>
        <c:majorTickMark val="out"/>
        <c:minorTickMark val="none"/>
        <c:tickLblPos val="nextTo"/>
        <c:crossAx val="708706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0831005964071"/>
          <c:y val="9.3636882346228467E-2"/>
          <c:w val="0.81167084091605257"/>
          <c:h val="0.76101820152915667"/>
        </c:manualLayout>
      </c:layout>
      <c:barChart>
        <c:barDir val="col"/>
        <c:grouping val="clustered"/>
        <c:varyColors val="0"/>
        <c:ser>
          <c:idx val="5"/>
          <c:order val="0"/>
          <c:tx>
            <c:strRef>
              <c:f>'IS caseload analysis'!$A$16</c:f>
              <c:strCache>
                <c:ptCount val="1"/>
                <c:pt idx="0">
                  <c:v>West Bromwich</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analysis'!$G$15:$K$15</c:f>
              <c:strCache>
                <c:ptCount val="5"/>
                <c:pt idx="0">
                  <c:v>2014-15</c:v>
                </c:pt>
                <c:pt idx="1">
                  <c:v>2015-16</c:v>
                </c:pt>
                <c:pt idx="2">
                  <c:v>2016-17</c:v>
                </c:pt>
                <c:pt idx="3">
                  <c:v>2017-18</c:v>
                </c:pt>
                <c:pt idx="4">
                  <c:v>2018-19</c:v>
                </c:pt>
              </c:strCache>
            </c:strRef>
          </c:cat>
          <c:val>
            <c:numRef>
              <c:f>'IS caseload analysis'!$G$16:$K$16</c:f>
              <c:numCache>
                <c:formatCode>0%</c:formatCode>
                <c:ptCount val="5"/>
                <c:pt idx="0">
                  <c:v>0.18390804597701149</c:v>
                </c:pt>
                <c:pt idx="1">
                  <c:v>0.18410041841004185</c:v>
                </c:pt>
                <c:pt idx="2">
                  <c:v>0.21052631578947367</c:v>
                </c:pt>
                <c:pt idx="3">
                  <c:v>0.27483443708609273</c:v>
                </c:pt>
                <c:pt idx="4">
                  <c:v>0.18251928020565553</c:v>
                </c:pt>
              </c:numCache>
            </c:numRef>
          </c:val>
          <c:extLst>
            <c:ext xmlns:c16="http://schemas.microsoft.com/office/drawing/2014/chart" uri="{C3380CC4-5D6E-409C-BE32-E72D297353CC}">
              <c16:uniqueId val="{00000000-A395-485D-A217-A20ADDE77E5D}"/>
            </c:ext>
          </c:extLst>
        </c:ser>
        <c:ser>
          <c:idx val="0"/>
          <c:order val="1"/>
          <c:tx>
            <c:strRef>
              <c:f>'IS caseload analysis'!$A$17</c:f>
              <c:strCache>
                <c:ptCount val="1"/>
                <c:pt idx="0">
                  <c:v>Tipton</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analysis'!$G$15:$K$15</c:f>
              <c:strCache>
                <c:ptCount val="5"/>
                <c:pt idx="0">
                  <c:v>2014-15</c:v>
                </c:pt>
                <c:pt idx="1">
                  <c:v>2015-16</c:v>
                </c:pt>
                <c:pt idx="2">
                  <c:v>2016-17</c:v>
                </c:pt>
                <c:pt idx="3">
                  <c:v>2017-18</c:v>
                </c:pt>
                <c:pt idx="4">
                  <c:v>2018-19</c:v>
                </c:pt>
              </c:strCache>
            </c:strRef>
          </c:cat>
          <c:val>
            <c:numRef>
              <c:f>'IS caseload analysis'!$G$17:$K$17</c:f>
              <c:numCache>
                <c:formatCode>0%</c:formatCode>
                <c:ptCount val="5"/>
                <c:pt idx="0">
                  <c:v>0.16858237547892721</c:v>
                </c:pt>
                <c:pt idx="1">
                  <c:v>0.14644351464435146</c:v>
                </c:pt>
                <c:pt idx="2">
                  <c:v>0.12368421052631579</c:v>
                </c:pt>
                <c:pt idx="3">
                  <c:v>0.14238410596026491</c:v>
                </c:pt>
                <c:pt idx="4">
                  <c:v>0.16709511568123395</c:v>
                </c:pt>
              </c:numCache>
            </c:numRef>
          </c:val>
          <c:extLst>
            <c:ext xmlns:c16="http://schemas.microsoft.com/office/drawing/2014/chart" uri="{C3380CC4-5D6E-409C-BE32-E72D297353CC}">
              <c16:uniqueId val="{00000001-A395-485D-A217-A20ADDE77E5D}"/>
            </c:ext>
          </c:extLst>
        </c:ser>
        <c:ser>
          <c:idx val="1"/>
          <c:order val="2"/>
          <c:tx>
            <c:strRef>
              <c:f>'IS caseload analysis'!$A$18</c:f>
              <c:strCache>
                <c:ptCount val="1"/>
                <c:pt idx="0">
                  <c:v>Smethwick</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analysis'!$G$15:$K$15</c:f>
              <c:strCache>
                <c:ptCount val="5"/>
                <c:pt idx="0">
                  <c:v>2014-15</c:v>
                </c:pt>
                <c:pt idx="1">
                  <c:v>2015-16</c:v>
                </c:pt>
                <c:pt idx="2">
                  <c:v>2016-17</c:v>
                </c:pt>
                <c:pt idx="3">
                  <c:v>2017-18</c:v>
                </c:pt>
                <c:pt idx="4">
                  <c:v>2018-19</c:v>
                </c:pt>
              </c:strCache>
            </c:strRef>
          </c:cat>
          <c:val>
            <c:numRef>
              <c:f>'IS caseload analysis'!$G$18:$K$18</c:f>
              <c:numCache>
                <c:formatCode>0%</c:formatCode>
                <c:ptCount val="5"/>
                <c:pt idx="0">
                  <c:v>0.19157088122605365</c:v>
                </c:pt>
                <c:pt idx="1">
                  <c:v>0.20920502092050208</c:v>
                </c:pt>
                <c:pt idx="2">
                  <c:v>0.17894736842105263</c:v>
                </c:pt>
                <c:pt idx="3">
                  <c:v>0.17880794701986755</c:v>
                </c:pt>
                <c:pt idx="4">
                  <c:v>0.15938303341902313</c:v>
                </c:pt>
              </c:numCache>
            </c:numRef>
          </c:val>
          <c:extLst>
            <c:ext xmlns:c16="http://schemas.microsoft.com/office/drawing/2014/chart" uri="{C3380CC4-5D6E-409C-BE32-E72D297353CC}">
              <c16:uniqueId val="{00000002-A395-485D-A217-A20ADDE77E5D}"/>
            </c:ext>
          </c:extLst>
        </c:ser>
        <c:ser>
          <c:idx val="2"/>
          <c:order val="3"/>
          <c:tx>
            <c:strRef>
              <c:f>'IS caseload analysis'!$A$19</c:f>
              <c:strCache>
                <c:ptCount val="1"/>
                <c:pt idx="0">
                  <c:v>Oldbury</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analysis'!$G$15:$K$15</c:f>
              <c:strCache>
                <c:ptCount val="5"/>
                <c:pt idx="0">
                  <c:v>2014-15</c:v>
                </c:pt>
                <c:pt idx="1">
                  <c:v>2015-16</c:v>
                </c:pt>
                <c:pt idx="2">
                  <c:v>2016-17</c:v>
                </c:pt>
                <c:pt idx="3">
                  <c:v>2017-18</c:v>
                </c:pt>
                <c:pt idx="4">
                  <c:v>2018-19</c:v>
                </c:pt>
              </c:strCache>
            </c:strRef>
          </c:cat>
          <c:val>
            <c:numRef>
              <c:f>'IS caseload analysis'!$G$19:$K$19</c:f>
              <c:numCache>
                <c:formatCode>0%</c:formatCode>
                <c:ptCount val="5"/>
                <c:pt idx="0">
                  <c:v>0.1532567049808429</c:v>
                </c:pt>
                <c:pt idx="1">
                  <c:v>0.16317991631799164</c:v>
                </c:pt>
                <c:pt idx="2">
                  <c:v>0.18157894736842106</c:v>
                </c:pt>
                <c:pt idx="3">
                  <c:v>0.19205298013245034</c:v>
                </c:pt>
                <c:pt idx="4">
                  <c:v>0.14652956298200515</c:v>
                </c:pt>
              </c:numCache>
            </c:numRef>
          </c:val>
          <c:extLst>
            <c:ext xmlns:c16="http://schemas.microsoft.com/office/drawing/2014/chart" uri="{C3380CC4-5D6E-409C-BE32-E72D297353CC}">
              <c16:uniqueId val="{00000003-A395-485D-A217-A20ADDE77E5D}"/>
            </c:ext>
          </c:extLst>
        </c:ser>
        <c:ser>
          <c:idx val="3"/>
          <c:order val="4"/>
          <c:tx>
            <c:strRef>
              <c:f>'IS caseload analysis'!$A$20</c:f>
              <c:strCache>
                <c:ptCount val="1"/>
                <c:pt idx="0">
                  <c:v>Rowley Regis</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analysis'!$G$15:$K$15</c:f>
              <c:strCache>
                <c:ptCount val="5"/>
                <c:pt idx="0">
                  <c:v>2014-15</c:v>
                </c:pt>
                <c:pt idx="1">
                  <c:v>2015-16</c:v>
                </c:pt>
                <c:pt idx="2">
                  <c:v>2016-17</c:v>
                </c:pt>
                <c:pt idx="3">
                  <c:v>2017-18</c:v>
                </c:pt>
                <c:pt idx="4">
                  <c:v>2018-19</c:v>
                </c:pt>
              </c:strCache>
            </c:strRef>
          </c:cat>
          <c:val>
            <c:numRef>
              <c:f>'IS caseload analysis'!$G$20:$K$20</c:f>
              <c:numCache>
                <c:formatCode>0%</c:formatCode>
                <c:ptCount val="5"/>
                <c:pt idx="0">
                  <c:v>0.13026819923371646</c:v>
                </c:pt>
                <c:pt idx="1">
                  <c:v>0.13389121338912133</c:v>
                </c:pt>
                <c:pt idx="2">
                  <c:v>9.2105263157894732E-2</c:v>
                </c:pt>
                <c:pt idx="3">
                  <c:v>0.10264900662251655</c:v>
                </c:pt>
                <c:pt idx="4">
                  <c:v>0.12082262210796915</c:v>
                </c:pt>
              </c:numCache>
            </c:numRef>
          </c:val>
          <c:extLst>
            <c:ext xmlns:c16="http://schemas.microsoft.com/office/drawing/2014/chart" uri="{C3380CC4-5D6E-409C-BE32-E72D297353CC}">
              <c16:uniqueId val="{00000004-A395-485D-A217-A20ADDE77E5D}"/>
            </c:ext>
          </c:extLst>
        </c:ser>
        <c:ser>
          <c:idx val="4"/>
          <c:order val="5"/>
          <c:tx>
            <c:strRef>
              <c:f>'IS caseload analysis'!$A$21</c:f>
              <c:strCache>
                <c:ptCount val="1"/>
                <c:pt idx="0">
                  <c:v>Wednesbury</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analysis'!$G$15:$K$15</c:f>
              <c:strCache>
                <c:ptCount val="5"/>
                <c:pt idx="0">
                  <c:v>2014-15</c:v>
                </c:pt>
                <c:pt idx="1">
                  <c:v>2015-16</c:v>
                </c:pt>
                <c:pt idx="2">
                  <c:v>2016-17</c:v>
                </c:pt>
                <c:pt idx="3">
                  <c:v>2017-18</c:v>
                </c:pt>
                <c:pt idx="4">
                  <c:v>2018-19</c:v>
                </c:pt>
              </c:strCache>
            </c:strRef>
          </c:cat>
          <c:val>
            <c:numRef>
              <c:f>'IS caseload analysis'!$G$21:$K$21</c:f>
              <c:numCache>
                <c:formatCode>0%</c:formatCode>
                <c:ptCount val="5"/>
                <c:pt idx="0">
                  <c:v>0.1111111111111111</c:v>
                </c:pt>
                <c:pt idx="1">
                  <c:v>8.7866108786610872E-2</c:v>
                </c:pt>
                <c:pt idx="2">
                  <c:v>0.13947368421052631</c:v>
                </c:pt>
                <c:pt idx="3">
                  <c:v>3.6423841059602648E-2</c:v>
                </c:pt>
                <c:pt idx="4">
                  <c:v>0.11311053984575835</c:v>
                </c:pt>
              </c:numCache>
            </c:numRef>
          </c:val>
          <c:extLst>
            <c:ext xmlns:c16="http://schemas.microsoft.com/office/drawing/2014/chart" uri="{C3380CC4-5D6E-409C-BE32-E72D297353CC}">
              <c16:uniqueId val="{00000005-A395-485D-A217-A20ADDE77E5D}"/>
            </c:ext>
          </c:extLst>
        </c:ser>
        <c:ser>
          <c:idx val="6"/>
          <c:order val="6"/>
          <c:tx>
            <c:strRef>
              <c:f>'IS caseload analysis'!$A$22</c:f>
              <c:strCache>
                <c:ptCount val="1"/>
                <c:pt idx="0">
                  <c:v>*Out of borough</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lumMod val="6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analysis'!$G$15:$K$15</c:f>
              <c:strCache>
                <c:ptCount val="5"/>
                <c:pt idx="0">
                  <c:v>2014-15</c:v>
                </c:pt>
                <c:pt idx="1">
                  <c:v>2015-16</c:v>
                </c:pt>
                <c:pt idx="2">
                  <c:v>2016-17</c:v>
                </c:pt>
                <c:pt idx="3">
                  <c:v>2017-18</c:v>
                </c:pt>
                <c:pt idx="4">
                  <c:v>2018-19</c:v>
                </c:pt>
              </c:strCache>
            </c:strRef>
          </c:cat>
          <c:val>
            <c:numRef>
              <c:f>'IS caseload analysis'!$G$22:$K$22</c:f>
              <c:numCache>
                <c:formatCode>0%</c:formatCode>
                <c:ptCount val="5"/>
                <c:pt idx="0">
                  <c:v>6.1302681992337162E-2</c:v>
                </c:pt>
                <c:pt idx="1">
                  <c:v>7.5313807531380755E-2</c:v>
                </c:pt>
                <c:pt idx="2">
                  <c:v>7.3684210526315783E-2</c:v>
                </c:pt>
                <c:pt idx="3">
                  <c:v>7.2847682119205295E-2</c:v>
                </c:pt>
                <c:pt idx="4">
                  <c:v>0.11053984575835475</c:v>
                </c:pt>
              </c:numCache>
            </c:numRef>
          </c:val>
          <c:extLst>
            <c:ext xmlns:c16="http://schemas.microsoft.com/office/drawing/2014/chart" uri="{C3380CC4-5D6E-409C-BE32-E72D297353CC}">
              <c16:uniqueId val="{00000006-A395-485D-A217-A20ADDE77E5D}"/>
            </c:ext>
          </c:extLst>
        </c:ser>
        <c:dLbls>
          <c:showLegendKey val="0"/>
          <c:showVal val="0"/>
          <c:showCatName val="0"/>
          <c:showSerName val="0"/>
          <c:showPercent val="0"/>
          <c:showBubbleSize val="0"/>
        </c:dLbls>
        <c:gapWidth val="150"/>
        <c:axId val="725797568"/>
        <c:axId val="725801504"/>
        <c:extLst/>
      </c:barChart>
      <c:catAx>
        <c:axId val="72579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801504"/>
        <c:crosses val="autoZero"/>
        <c:auto val="1"/>
        <c:lblAlgn val="ctr"/>
        <c:lblOffset val="100"/>
        <c:noMultiLvlLbl val="0"/>
      </c:catAx>
      <c:valAx>
        <c:axId val="72580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Children</a:t>
                </a:r>
                <a:r>
                  <a:rPr lang="en-US" baseline="0"/>
                  <a:t> with SEN</a:t>
                </a:r>
                <a:endParaRPr lang="en-US"/>
              </a:p>
            </c:rich>
          </c:tx>
          <c:layout>
            <c:manualLayout>
              <c:xMode val="edge"/>
              <c:yMode val="edge"/>
              <c:x val="1.3755159683544599E-2"/>
              <c:y val="0.282270751312335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79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324048863051"/>
          <c:y val="0.15661853682681726"/>
          <c:w val="0.84204374862020748"/>
          <c:h val="0.62722677035097663"/>
        </c:manualLayout>
      </c:layout>
      <c:barChart>
        <c:barDir val="col"/>
        <c:grouping val="clustered"/>
        <c:varyColors val="0"/>
        <c:ser>
          <c:idx val="5"/>
          <c:order val="0"/>
          <c:tx>
            <c:strRef>
              <c:f>'IS caseload analysis'!$B$30</c:f>
              <c:strCache>
                <c:ptCount val="1"/>
                <c:pt idx="0">
                  <c:v>Tipton</c:v>
                </c:pt>
              </c:strCache>
            </c:strRef>
          </c:tx>
          <c:spPr>
            <a:solidFill>
              <a:srgbClr val="00206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analysis'!$H$29:$L$29</c:f>
              <c:strCache>
                <c:ptCount val="5"/>
                <c:pt idx="0">
                  <c:v>2014-15</c:v>
                </c:pt>
                <c:pt idx="1">
                  <c:v>2015-16</c:v>
                </c:pt>
                <c:pt idx="2">
                  <c:v>2016-17</c:v>
                </c:pt>
                <c:pt idx="3">
                  <c:v>2017-18</c:v>
                </c:pt>
                <c:pt idx="4">
                  <c:v>2018-19</c:v>
                </c:pt>
              </c:strCache>
            </c:strRef>
          </c:cat>
          <c:val>
            <c:numRef>
              <c:f>'IS caseload analysis'!$H$30:$L$30</c:f>
              <c:numCache>
                <c:formatCode>0.0</c:formatCode>
                <c:ptCount val="5"/>
                <c:pt idx="0">
                  <c:v>11.506276150627615</c:v>
                </c:pt>
                <c:pt idx="1">
                  <c:v>9.1527196652719667</c:v>
                </c:pt>
                <c:pt idx="2">
                  <c:v>12.290794979079498</c:v>
                </c:pt>
                <c:pt idx="3">
                  <c:v>11.244769874476987</c:v>
                </c:pt>
                <c:pt idx="4">
                  <c:v>16.997907949790793</c:v>
                </c:pt>
              </c:numCache>
            </c:numRef>
          </c:val>
          <c:extLst>
            <c:ext xmlns:c16="http://schemas.microsoft.com/office/drawing/2014/chart" uri="{C3380CC4-5D6E-409C-BE32-E72D297353CC}">
              <c16:uniqueId val="{00000000-48EC-4D8E-9517-A9D61DB6EA95}"/>
            </c:ext>
          </c:extLst>
        </c:ser>
        <c:ser>
          <c:idx val="0"/>
          <c:order val="1"/>
          <c:tx>
            <c:strRef>
              <c:f>'IS caseload analysis'!$B$31</c:f>
              <c:strCache>
                <c:ptCount val="1"/>
                <c:pt idx="0">
                  <c:v>Wednesbury</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analysis'!$H$29:$L$29</c:f>
              <c:strCache>
                <c:ptCount val="5"/>
                <c:pt idx="0">
                  <c:v>2014-15</c:v>
                </c:pt>
                <c:pt idx="1">
                  <c:v>2015-16</c:v>
                </c:pt>
                <c:pt idx="2">
                  <c:v>2016-17</c:v>
                </c:pt>
                <c:pt idx="3">
                  <c:v>2017-18</c:v>
                </c:pt>
                <c:pt idx="4">
                  <c:v>2018-19</c:v>
                </c:pt>
              </c:strCache>
            </c:strRef>
          </c:cat>
          <c:val>
            <c:numRef>
              <c:f>'IS caseload analysis'!$H$31:$L$31</c:f>
              <c:numCache>
                <c:formatCode>0.0</c:formatCode>
                <c:ptCount val="5"/>
                <c:pt idx="0">
                  <c:v>8.6593012839653625</c:v>
                </c:pt>
                <c:pt idx="1">
                  <c:v>6.2705285159749184</c:v>
                </c:pt>
                <c:pt idx="2">
                  <c:v>15.825619587936698</c:v>
                </c:pt>
                <c:pt idx="3">
                  <c:v>3.2845625559868616</c:v>
                </c:pt>
                <c:pt idx="4">
                  <c:v>13.138250223947447</c:v>
                </c:pt>
              </c:numCache>
            </c:numRef>
          </c:val>
          <c:extLst>
            <c:ext xmlns:c16="http://schemas.microsoft.com/office/drawing/2014/chart" uri="{C3380CC4-5D6E-409C-BE32-E72D297353CC}">
              <c16:uniqueId val="{00000001-48EC-4D8E-9517-A9D61DB6EA95}"/>
            </c:ext>
          </c:extLst>
        </c:ser>
        <c:ser>
          <c:idx val="1"/>
          <c:order val="2"/>
          <c:tx>
            <c:strRef>
              <c:f>'IS caseload analysis'!$B$32</c:f>
              <c:strCache>
                <c:ptCount val="1"/>
                <c:pt idx="0">
                  <c:v>Oldbury</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analysis'!$H$29:$L$29</c:f>
              <c:strCache>
                <c:ptCount val="5"/>
                <c:pt idx="0">
                  <c:v>2014-15</c:v>
                </c:pt>
                <c:pt idx="1">
                  <c:v>2015-16</c:v>
                </c:pt>
                <c:pt idx="2">
                  <c:v>2016-17</c:v>
                </c:pt>
                <c:pt idx="3">
                  <c:v>2017-18</c:v>
                </c:pt>
                <c:pt idx="4">
                  <c:v>2018-19</c:v>
                </c:pt>
              </c:strCache>
            </c:strRef>
          </c:cat>
          <c:val>
            <c:numRef>
              <c:f>'IS caseload analysis'!$H$32:$L$32</c:f>
              <c:numCache>
                <c:formatCode>0.0</c:formatCode>
                <c:ptCount val="5"/>
                <c:pt idx="0">
                  <c:v>8.5984522785898534</c:v>
                </c:pt>
                <c:pt idx="1">
                  <c:v>8.3834909716251076</c:v>
                </c:pt>
                <c:pt idx="2">
                  <c:v>14.832330180567498</c:v>
                </c:pt>
                <c:pt idx="3">
                  <c:v>12.467755803955288</c:v>
                </c:pt>
                <c:pt idx="4">
                  <c:v>12.252794496990541</c:v>
                </c:pt>
              </c:numCache>
            </c:numRef>
          </c:val>
          <c:extLst>
            <c:ext xmlns:c16="http://schemas.microsoft.com/office/drawing/2014/chart" uri="{C3380CC4-5D6E-409C-BE32-E72D297353CC}">
              <c16:uniqueId val="{00000002-48EC-4D8E-9517-A9D61DB6EA95}"/>
            </c:ext>
          </c:extLst>
        </c:ser>
        <c:ser>
          <c:idx val="2"/>
          <c:order val="3"/>
          <c:tx>
            <c:strRef>
              <c:f>'IS caseload analysis'!$B$33</c:f>
              <c:strCache>
                <c:ptCount val="1"/>
                <c:pt idx="0">
                  <c:v>Rowley Regis</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analysis'!$H$29:$L$29</c:f>
              <c:strCache>
                <c:ptCount val="5"/>
                <c:pt idx="0">
                  <c:v>2014-15</c:v>
                </c:pt>
                <c:pt idx="1">
                  <c:v>2015-16</c:v>
                </c:pt>
                <c:pt idx="2">
                  <c:v>2016-17</c:v>
                </c:pt>
                <c:pt idx="3">
                  <c:v>2017-18</c:v>
                </c:pt>
                <c:pt idx="4">
                  <c:v>2018-19</c:v>
                </c:pt>
              </c:strCache>
            </c:strRef>
          </c:cat>
          <c:val>
            <c:numRef>
              <c:f>'IS caseload analysis'!$H$33:$L$33</c:f>
              <c:numCache>
                <c:formatCode>0.0</c:formatCode>
                <c:ptCount val="5"/>
                <c:pt idx="0">
                  <c:v>7.7272727272727275</c:v>
                </c:pt>
                <c:pt idx="1">
                  <c:v>7.2727272727272725</c:v>
                </c:pt>
                <c:pt idx="2">
                  <c:v>7.9545454545454541</c:v>
                </c:pt>
                <c:pt idx="3">
                  <c:v>7.0454545454545459</c:v>
                </c:pt>
                <c:pt idx="4">
                  <c:v>10.681818181818182</c:v>
                </c:pt>
              </c:numCache>
            </c:numRef>
          </c:val>
          <c:extLst>
            <c:ext xmlns:c16="http://schemas.microsoft.com/office/drawing/2014/chart" uri="{C3380CC4-5D6E-409C-BE32-E72D297353CC}">
              <c16:uniqueId val="{00000003-48EC-4D8E-9517-A9D61DB6EA95}"/>
            </c:ext>
          </c:extLst>
        </c:ser>
        <c:ser>
          <c:idx val="3"/>
          <c:order val="4"/>
          <c:tx>
            <c:strRef>
              <c:f>'IS caseload analysis'!$B$34</c:f>
              <c:strCache>
                <c:ptCount val="1"/>
                <c:pt idx="0">
                  <c:v>West Bromwich</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analysis'!$H$29:$L$29</c:f>
              <c:strCache>
                <c:ptCount val="5"/>
                <c:pt idx="0">
                  <c:v>2014-15</c:v>
                </c:pt>
                <c:pt idx="1">
                  <c:v>2015-16</c:v>
                </c:pt>
                <c:pt idx="2">
                  <c:v>2016-17</c:v>
                </c:pt>
                <c:pt idx="3">
                  <c:v>2017-18</c:v>
                </c:pt>
                <c:pt idx="4">
                  <c:v>2018-19</c:v>
                </c:pt>
              </c:strCache>
            </c:strRef>
          </c:cat>
          <c:val>
            <c:numRef>
              <c:f>'IS caseload analysis'!$H$34:$L$34</c:f>
              <c:numCache>
                <c:formatCode>0.0</c:formatCode>
                <c:ptCount val="5"/>
                <c:pt idx="0">
                  <c:v>7.009345794392523</c:v>
                </c:pt>
                <c:pt idx="1">
                  <c:v>6.4252336448598131</c:v>
                </c:pt>
                <c:pt idx="2">
                  <c:v>11.682242990654204</c:v>
                </c:pt>
                <c:pt idx="3">
                  <c:v>12.120327102803738</c:v>
                </c:pt>
                <c:pt idx="4">
                  <c:v>10.367990654205608</c:v>
                </c:pt>
              </c:numCache>
            </c:numRef>
          </c:val>
          <c:extLst>
            <c:ext xmlns:c16="http://schemas.microsoft.com/office/drawing/2014/chart" uri="{C3380CC4-5D6E-409C-BE32-E72D297353CC}">
              <c16:uniqueId val="{00000004-48EC-4D8E-9517-A9D61DB6EA95}"/>
            </c:ext>
          </c:extLst>
        </c:ser>
        <c:ser>
          <c:idx val="4"/>
          <c:order val="5"/>
          <c:tx>
            <c:strRef>
              <c:f>'IS caseload analysis'!$B$35</c:f>
              <c:strCache>
                <c:ptCount val="1"/>
                <c:pt idx="0">
                  <c:v>Smethwick</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accent3">
                        <a:lumMod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analysis'!$H$29:$L$29</c:f>
              <c:strCache>
                <c:ptCount val="5"/>
                <c:pt idx="0">
                  <c:v>2014-15</c:v>
                </c:pt>
                <c:pt idx="1">
                  <c:v>2015-16</c:v>
                </c:pt>
                <c:pt idx="2">
                  <c:v>2016-17</c:v>
                </c:pt>
                <c:pt idx="3">
                  <c:v>2017-18</c:v>
                </c:pt>
                <c:pt idx="4">
                  <c:v>2018-19</c:v>
                </c:pt>
              </c:strCache>
            </c:strRef>
          </c:cat>
          <c:val>
            <c:numRef>
              <c:f>'IS caseload analysis'!$H$35:$L$35</c:f>
              <c:numCache>
                <c:formatCode>0.0</c:formatCode>
                <c:ptCount val="5"/>
                <c:pt idx="0">
                  <c:v>7.9617834394904454</c:v>
                </c:pt>
                <c:pt idx="1">
                  <c:v>7.9617834394904454</c:v>
                </c:pt>
                <c:pt idx="2">
                  <c:v>10.828025477707005</c:v>
                </c:pt>
                <c:pt idx="3">
                  <c:v>8.598726114649681</c:v>
                </c:pt>
                <c:pt idx="4">
                  <c:v>9.872611464968152</c:v>
                </c:pt>
              </c:numCache>
            </c:numRef>
          </c:val>
          <c:extLst>
            <c:ext xmlns:c16="http://schemas.microsoft.com/office/drawing/2014/chart" uri="{C3380CC4-5D6E-409C-BE32-E72D297353CC}">
              <c16:uniqueId val="{00000005-48EC-4D8E-9517-A9D61DB6EA95}"/>
            </c:ext>
          </c:extLst>
        </c:ser>
        <c:dLbls>
          <c:showLegendKey val="0"/>
          <c:showVal val="0"/>
          <c:showCatName val="0"/>
          <c:showSerName val="0"/>
          <c:showPercent val="0"/>
          <c:showBubbleSize val="0"/>
        </c:dLbls>
        <c:gapWidth val="150"/>
        <c:axId val="725797568"/>
        <c:axId val="725801504"/>
      </c:barChart>
      <c:lineChart>
        <c:grouping val="standard"/>
        <c:varyColors val="0"/>
        <c:ser>
          <c:idx val="6"/>
          <c:order val="6"/>
          <c:tx>
            <c:strRef>
              <c:f>'IS caseload analysis'!$B$37</c:f>
              <c:strCache>
                <c:ptCount val="1"/>
                <c:pt idx="0">
                  <c:v>Sandwell </c:v>
                </c:pt>
              </c:strCache>
            </c:strRef>
          </c:tx>
          <c:spPr>
            <a:ln w="28575" cap="rnd">
              <a:solidFill>
                <a:schemeClr val="accent1">
                  <a:lumMod val="60000"/>
                </a:schemeClr>
              </a:solidFill>
              <a:round/>
            </a:ln>
            <a:effectLst/>
          </c:spPr>
          <c:marker>
            <c:symbol val="star"/>
            <c:size val="10"/>
            <c:spPr>
              <a:noFill/>
              <a:ln w="9525">
                <a:solidFill>
                  <a:srgbClr val="FF0000"/>
                </a:solidFill>
              </a:ln>
              <a:effectLst/>
            </c:spPr>
          </c:marker>
          <c:dPt>
            <c:idx val="1"/>
            <c:marker>
              <c:symbol val="star"/>
              <c:size val="10"/>
              <c:spPr>
                <a:noFill/>
                <a:ln w="9525">
                  <a:solidFill>
                    <a:srgbClr val="FF0000"/>
                  </a:solidFill>
                </a:ln>
                <a:effectLst/>
              </c:spPr>
            </c:marker>
            <c:bubble3D val="0"/>
            <c:spPr>
              <a:ln w="28575" cap="rnd">
                <a:solidFill>
                  <a:srgbClr val="FF0000"/>
                </a:solidFill>
                <a:round/>
              </a:ln>
              <a:effectLst/>
            </c:spPr>
            <c:extLst>
              <c:ext xmlns:c16="http://schemas.microsoft.com/office/drawing/2014/chart" uri="{C3380CC4-5D6E-409C-BE32-E72D297353CC}">
                <c16:uniqueId val="{00000007-48EC-4D8E-9517-A9D61DB6EA95}"/>
              </c:ext>
            </c:extLst>
          </c:dPt>
          <c:dPt>
            <c:idx val="2"/>
            <c:marker>
              <c:symbol val="star"/>
              <c:size val="10"/>
              <c:spPr>
                <a:noFill/>
                <a:ln w="9525">
                  <a:solidFill>
                    <a:srgbClr val="FF0000"/>
                  </a:solidFill>
                </a:ln>
                <a:effectLst/>
              </c:spPr>
            </c:marker>
            <c:bubble3D val="0"/>
            <c:spPr>
              <a:ln w="28575" cap="rnd">
                <a:solidFill>
                  <a:srgbClr val="FF0000"/>
                </a:solidFill>
                <a:round/>
              </a:ln>
              <a:effectLst/>
            </c:spPr>
            <c:extLst>
              <c:ext xmlns:c16="http://schemas.microsoft.com/office/drawing/2014/chart" uri="{C3380CC4-5D6E-409C-BE32-E72D297353CC}">
                <c16:uniqueId val="{00000009-48EC-4D8E-9517-A9D61DB6EA95}"/>
              </c:ext>
            </c:extLst>
          </c:dPt>
          <c:dPt>
            <c:idx val="3"/>
            <c:marker>
              <c:symbol val="star"/>
              <c:size val="10"/>
              <c:spPr>
                <a:noFill/>
                <a:ln w="9525">
                  <a:solidFill>
                    <a:srgbClr val="FF0000"/>
                  </a:solidFill>
                </a:ln>
                <a:effectLst/>
              </c:spPr>
            </c:marker>
            <c:bubble3D val="0"/>
            <c:spPr>
              <a:ln w="28575" cap="rnd">
                <a:solidFill>
                  <a:srgbClr val="FF0000"/>
                </a:solidFill>
                <a:round/>
              </a:ln>
              <a:effectLst/>
            </c:spPr>
            <c:extLst>
              <c:ext xmlns:c16="http://schemas.microsoft.com/office/drawing/2014/chart" uri="{C3380CC4-5D6E-409C-BE32-E72D297353CC}">
                <c16:uniqueId val="{0000000B-48EC-4D8E-9517-A9D61DB6EA95}"/>
              </c:ext>
            </c:extLst>
          </c:dPt>
          <c:dPt>
            <c:idx val="4"/>
            <c:marker>
              <c:symbol val="star"/>
              <c:size val="10"/>
              <c:spPr>
                <a:noFill/>
                <a:ln w="9525">
                  <a:solidFill>
                    <a:srgbClr val="FF0000"/>
                  </a:solidFill>
                </a:ln>
                <a:effectLst/>
              </c:spPr>
            </c:marker>
            <c:bubble3D val="0"/>
            <c:spPr>
              <a:ln w="28575" cap="rnd">
                <a:solidFill>
                  <a:srgbClr val="FF0000"/>
                </a:solidFill>
                <a:round/>
              </a:ln>
              <a:effectLst/>
            </c:spPr>
            <c:extLst>
              <c:ext xmlns:c16="http://schemas.microsoft.com/office/drawing/2014/chart" uri="{C3380CC4-5D6E-409C-BE32-E72D297353CC}">
                <c16:uniqueId val="{0000000D-48EC-4D8E-9517-A9D61DB6EA95}"/>
              </c:ext>
            </c:extLst>
          </c:dPt>
          <c:dLbls>
            <c:dLbl>
              <c:idx val="0"/>
              <c:layout>
                <c:manualLayout>
                  <c:x val="-2.9679411316070461E-2"/>
                  <c:y val="-5.754855441390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8EC-4D8E-9517-A9D61DB6EA95}"/>
                </c:ext>
              </c:extLst>
            </c:dLbl>
            <c:dLbl>
              <c:idx val="1"/>
              <c:layout>
                <c:manualLayout>
                  <c:x val="-2.9679411316070509E-2"/>
                  <c:y val="-5.4155849637461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EC-4D8E-9517-A9D61DB6EA95}"/>
                </c:ext>
              </c:extLst>
            </c:dLbl>
            <c:dLbl>
              <c:idx val="3"/>
              <c:layout>
                <c:manualLayout>
                  <c:x val="-2.8343405972049086E-2"/>
                  <c:y val="-6.0941259190356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EC-4D8E-9517-A9D61DB6EA95}"/>
                </c:ext>
              </c:extLst>
            </c:dLbl>
            <c:dLbl>
              <c:idx val="4"/>
              <c:layout>
                <c:manualLayout>
                  <c:x val="-3.1015416660091936E-2"/>
                  <c:y val="-6.700591933483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EC-4D8E-9517-A9D61DB6EA95}"/>
                </c:ext>
              </c:extLst>
            </c:dLbl>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rgbClr val="F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analysis'!$H$29:$L$29</c:f>
              <c:strCache>
                <c:ptCount val="5"/>
                <c:pt idx="0">
                  <c:v>2014-15</c:v>
                </c:pt>
                <c:pt idx="1">
                  <c:v>2015-16</c:v>
                </c:pt>
                <c:pt idx="2">
                  <c:v>2016-17</c:v>
                </c:pt>
                <c:pt idx="3">
                  <c:v>2017-18</c:v>
                </c:pt>
                <c:pt idx="4">
                  <c:v>2018-19</c:v>
                </c:pt>
              </c:strCache>
            </c:strRef>
          </c:cat>
          <c:val>
            <c:numRef>
              <c:f>'IS caseload analysis'!$H$37:$L$37</c:f>
              <c:numCache>
                <c:formatCode>0.0</c:formatCode>
                <c:ptCount val="5"/>
                <c:pt idx="0">
                  <c:v>8.3466766599666133</c:v>
                </c:pt>
                <c:pt idx="1">
                  <c:v>7.5290430279698839</c:v>
                </c:pt>
                <c:pt idx="2">
                  <c:v>11.991959935952034</c:v>
                </c:pt>
                <c:pt idx="3">
                  <c:v>9.5390590399618436</c:v>
                </c:pt>
                <c:pt idx="4">
                  <c:v>11.78755152795285</c:v>
                </c:pt>
              </c:numCache>
            </c:numRef>
          </c:val>
          <c:smooth val="0"/>
          <c:extLst>
            <c:ext xmlns:c16="http://schemas.microsoft.com/office/drawing/2014/chart" uri="{C3380CC4-5D6E-409C-BE32-E72D297353CC}">
              <c16:uniqueId val="{0000000F-48EC-4D8E-9517-A9D61DB6EA95}"/>
            </c:ext>
          </c:extLst>
        </c:ser>
        <c:dLbls>
          <c:showLegendKey val="0"/>
          <c:showVal val="0"/>
          <c:showCatName val="0"/>
          <c:showSerName val="0"/>
          <c:showPercent val="0"/>
          <c:showBubbleSize val="0"/>
        </c:dLbls>
        <c:marker val="1"/>
        <c:smooth val="0"/>
        <c:axId val="725797568"/>
        <c:axId val="725801504"/>
      </c:lineChart>
      <c:catAx>
        <c:axId val="72579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801504"/>
        <c:crosses val="autoZero"/>
        <c:auto val="1"/>
        <c:lblAlgn val="ctr"/>
        <c:lblOffset val="100"/>
        <c:noMultiLvlLbl val="0"/>
      </c:catAx>
      <c:valAx>
        <c:axId val="72580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a:t>
                </a:r>
                <a:r>
                  <a:rPr lang="en-US" baseline="0"/>
                  <a:t> per 1,000  Children age 0-5 years</a:t>
                </a:r>
                <a:endParaRPr lang="en-US"/>
              </a:p>
            </c:rich>
          </c:tx>
          <c:layout>
            <c:manualLayout>
              <c:xMode val="edge"/>
              <c:yMode val="edge"/>
              <c:x val="2.3878504672897198E-2"/>
              <c:y val="0.173346532259283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79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394003634161"/>
          <c:y val="0.10603674540682413"/>
          <c:w val="0.80235034322632748"/>
          <c:h val="0.67545231054263011"/>
        </c:manualLayout>
      </c:layout>
      <c:barChart>
        <c:barDir val="col"/>
        <c:grouping val="clustered"/>
        <c:varyColors val="0"/>
        <c:ser>
          <c:idx val="0"/>
          <c:order val="0"/>
          <c:tx>
            <c:strRef>
              <c:f>'IS caseload analysis'!$A$85</c:f>
              <c:strCache>
                <c:ptCount val="1"/>
                <c:pt idx="0">
                  <c:v>Age at Referral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analysis'!$A$86:$A$91</c:f>
              <c:strCache>
                <c:ptCount val="6"/>
                <c:pt idx="0">
                  <c:v>0-1 </c:v>
                </c:pt>
                <c:pt idx="1">
                  <c:v>1</c:v>
                </c:pt>
                <c:pt idx="2">
                  <c:v>2</c:v>
                </c:pt>
                <c:pt idx="3">
                  <c:v>3</c:v>
                </c:pt>
                <c:pt idx="4">
                  <c:v>4</c:v>
                </c:pt>
                <c:pt idx="5">
                  <c:v>5</c:v>
                </c:pt>
              </c:strCache>
            </c:strRef>
          </c:cat>
          <c:val>
            <c:numRef>
              <c:f>'IS caseload analysis'!$F$86:$F$91</c:f>
              <c:numCache>
                <c:formatCode>General</c:formatCode>
                <c:ptCount val="6"/>
                <c:pt idx="0">
                  <c:v>11</c:v>
                </c:pt>
                <c:pt idx="1">
                  <c:v>40</c:v>
                </c:pt>
                <c:pt idx="2">
                  <c:v>136</c:v>
                </c:pt>
                <c:pt idx="3">
                  <c:v>124</c:v>
                </c:pt>
                <c:pt idx="4">
                  <c:v>63</c:v>
                </c:pt>
                <c:pt idx="5">
                  <c:v>15</c:v>
                </c:pt>
              </c:numCache>
            </c:numRef>
          </c:val>
          <c:extLst>
            <c:ext xmlns:c16="http://schemas.microsoft.com/office/drawing/2014/chart" uri="{C3380CC4-5D6E-409C-BE32-E72D297353CC}">
              <c16:uniqueId val="{00000000-6594-4D6F-9C59-88E97AABBEC4}"/>
            </c:ext>
          </c:extLst>
        </c:ser>
        <c:dLbls>
          <c:showLegendKey val="0"/>
          <c:showVal val="1"/>
          <c:showCatName val="0"/>
          <c:showSerName val="0"/>
          <c:showPercent val="0"/>
          <c:showBubbleSize val="0"/>
        </c:dLbls>
        <c:gapWidth val="6"/>
        <c:axId val="499025488"/>
        <c:axId val="499027128"/>
      </c:barChart>
      <c:catAx>
        <c:axId val="499025488"/>
        <c:scaling>
          <c:orientation val="minMax"/>
        </c:scaling>
        <c:delete val="0"/>
        <c:axPos val="b"/>
        <c:title>
          <c:tx>
            <c:rich>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r>
                  <a:rPr lang="en-GB"/>
                  <a:t>Age </a:t>
                </a:r>
              </a:p>
            </c:rich>
          </c:tx>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499027128"/>
        <c:crosses val="autoZero"/>
        <c:auto val="1"/>
        <c:lblAlgn val="ctr"/>
        <c:lblOffset val="100"/>
        <c:noMultiLvlLbl val="0"/>
      </c:catAx>
      <c:valAx>
        <c:axId val="4990271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r>
                  <a:rPr lang="en-GB"/>
                  <a:t>Number of children</a:t>
                </a:r>
              </a:p>
            </c:rich>
          </c:tx>
          <c:layout>
            <c:manualLayout>
              <c:xMode val="edge"/>
              <c:yMode val="edge"/>
              <c:x val="5.2184786997779127E-2"/>
              <c:y val="0.24370304390684197"/>
            </c:manualLayout>
          </c:layout>
          <c:overlay val="0"/>
          <c:spPr>
            <a:noFill/>
            <a:ln>
              <a:noFill/>
            </a:ln>
            <a:effectLst/>
          </c:spPr>
          <c:txPr>
            <a:bodyPr rot="-54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499025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17515438775282E-2"/>
          <c:y val="0.12504356313819567"/>
          <c:w val="0.77941667547966764"/>
          <c:h val="0.6286819014493551"/>
        </c:manualLayout>
      </c:layout>
      <c:barChart>
        <c:barDir val="col"/>
        <c:grouping val="clustered"/>
        <c:varyColors val="0"/>
        <c:ser>
          <c:idx val="0"/>
          <c:order val="0"/>
          <c:tx>
            <c:strRef>
              <c:f>'ECHP analysis'!$C$2</c:f>
              <c:strCache>
                <c:ptCount val="1"/>
                <c:pt idx="0">
                  <c:v>Girls</c:v>
                </c:pt>
              </c:strCache>
            </c:strRef>
          </c:tx>
          <c:spPr>
            <a:solidFill>
              <a:srgbClr val="FF99CC"/>
            </a:solidFill>
            <a:ln>
              <a:noFill/>
            </a:ln>
            <a:effectLst/>
          </c:spPr>
          <c:invertIfNegative val="0"/>
          <c:dLbls>
            <c:dLbl>
              <c:idx val="0"/>
              <c:tx>
                <c:rich>
                  <a:bodyPr/>
                  <a:lstStyle/>
                  <a:p>
                    <a:fld id="{2E3CB902-51C2-40F2-9A1A-C0EBF5C72427}" type="CELLRANGE">
                      <a:rPr lang="en-US"/>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22B-432A-9113-51595FD3208C}"/>
                </c:ext>
              </c:extLst>
            </c:dLbl>
            <c:dLbl>
              <c:idx val="1"/>
              <c:tx>
                <c:rich>
                  <a:bodyPr/>
                  <a:lstStyle/>
                  <a:p>
                    <a:fld id="{B3A8DFA1-160F-42DF-9388-6F5F38F46A3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22B-432A-9113-51595FD3208C}"/>
                </c:ext>
              </c:extLst>
            </c:dLbl>
            <c:dLbl>
              <c:idx val="2"/>
              <c:tx>
                <c:rich>
                  <a:bodyPr/>
                  <a:lstStyle/>
                  <a:p>
                    <a:fld id="{2E0DE45E-42FF-46BB-ACD9-B2FFAD26D546}"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22B-432A-9113-51595FD3208C}"/>
                </c:ext>
              </c:extLst>
            </c:dLbl>
            <c:dLbl>
              <c:idx val="3"/>
              <c:tx>
                <c:rich>
                  <a:bodyPr/>
                  <a:lstStyle/>
                  <a:p>
                    <a:fld id="{B560B222-750A-4B2E-81C5-DAE9B42DEDE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22B-432A-9113-51595FD3208C}"/>
                </c:ext>
              </c:extLst>
            </c:dLbl>
            <c:dLbl>
              <c:idx val="4"/>
              <c:tx>
                <c:rich>
                  <a:bodyPr/>
                  <a:lstStyle/>
                  <a:p>
                    <a:fld id="{F7673606-C558-4092-8153-C4BAD91BB97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22B-432A-9113-51595FD320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'ECHP analysis'!$B$3:$B$7</c:f>
              <c:strCache>
                <c:ptCount val="5"/>
                <c:pt idx="0">
                  <c:v>2014-15</c:v>
                </c:pt>
                <c:pt idx="1">
                  <c:v>2015-16</c:v>
                </c:pt>
                <c:pt idx="2">
                  <c:v>2016-17</c:v>
                </c:pt>
                <c:pt idx="3">
                  <c:v>2017-18</c:v>
                </c:pt>
                <c:pt idx="4">
                  <c:v>2018-19</c:v>
                </c:pt>
              </c:strCache>
            </c:strRef>
          </c:cat>
          <c:val>
            <c:numRef>
              <c:f>'ECHP analysis'!$C$3:$C$7</c:f>
              <c:numCache>
                <c:formatCode>General</c:formatCode>
                <c:ptCount val="5"/>
                <c:pt idx="0">
                  <c:v>3</c:v>
                </c:pt>
                <c:pt idx="1">
                  <c:v>23</c:v>
                </c:pt>
                <c:pt idx="2">
                  <c:v>36</c:v>
                </c:pt>
                <c:pt idx="3">
                  <c:v>28</c:v>
                </c:pt>
                <c:pt idx="4">
                  <c:v>40</c:v>
                </c:pt>
              </c:numCache>
            </c:numRef>
          </c:val>
          <c:extLst>
            <c:ext xmlns:c15="http://schemas.microsoft.com/office/drawing/2012/chart" uri="{02D57815-91ED-43cb-92C2-25804820EDAC}">
              <c15:datalabelsRange>
                <c15:f>'ECHP analysis'!$C$3:$C$7</c15:f>
                <c15:dlblRangeCache>
                  <c:ptCount val="5"/>
                  <c:pt idx="0">
                    <c:v>3</c:v>
                  </c:pt>
                  <c:pt idx="1">
                    <c:v>23</c:v>
                  </c:pt>
                  <c:pt idx="2">
                    <c:v>36</c:v>
                  </c:pt>
                  <c:pt idx="3">
                    <c:v>28</c:v>
                  </c:pt>
                  <c:pt idx="4">
                    <c:v>40</c:v>
                  </c:pt>
                </c15:dlblRangeCache>
              </c15:datalabelsRange>
            </c:ext>
            <c:ext xmlns:c16="http://schemas.microsoft.com/office/drawing/2014/chart" uri="{C3380CC4-5D6E-409C-BE32-E72D297353CC}">
              <c16:uniqueId val="{00000005-422B-432A-9113-51595FD3208C}"/>
            </c:ext>
          </c:extLst>
        </c:ser>
        <c:ser>
          <c:idx val="1"/>
          <c:order val="1"/>
          <c:tx>
            <c:strRef>
              <c:f>'ECHP analysis'!$D$2</c:f>
              <c:strCache>
                <c:ptCount val="1"/>
                <c:pt idx="0">
                  <c:v>Boys</c:v>
                </c:pt>
              </c:strCache>
            </c:strRef>
          </c:tx>
          <c:spPr>
            <a:solidFill>
              <a:schemeClr val="accent5">
                <a:lumMod val="40000"/>
                <a:lumOff val="60000"/>
              </a:schemeClr>
            </a:solidFill>
            <a:ln>
              <a:noFill/>
            </a:ln>
            <a:effectLst/>
          </c:spPr>
          <c:invertIfNegative val="0"/>
          <c:dLbls>
            <c:dLbl>
              <c:idx val="0"/>
              <c:tx>
                <c:rich>
                  <a:bodyPr/>
                  <a:lstStyle/>
                  <a:p>
                    <a:fld id="{E45931FE-ECFE-4B06-8B07-5D9537D62BC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22B-432A-9113-51595FD3208C}"/>
                </c:ext>
              </c:extLst>
            </c:dLbl>
            <c:dLbl>
              <c:idx val="1"/>
              <c:tx>
                <c:rich>
                  <a:bodyPr/>
                  <a:lstStyle/>
                  <a:p>
                    <a:fld id="{CD352C7D-73FC-4E1B-A0F7-4CEDD1D1BCE1}"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22B-432A-9113-51595FD3208C}"/>
                </c:ext>
              </c:extLst>
            </c:dLbl>
            <c:dLbl>
              <c:idx val="2"/>
              <c:tx>
                <c:rich>
                  <a:bodyPr/>
                  <a:lstStyle/>
                  <a:p>
                    <a:fld id="{9D59D428-3037-4972-B78B-D443760BF076}"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22B-432A-9113-51595FD3208C}"/>
                </c:ext>
              </c:extLst>
            </c:dLbl>
            <c:dLbl>
              <c:idx val="3"/>
              <c:tx>
                <c:rich>
                  <a:bodyPr/>
                  <a:lstStyle/>
                  <a:p>
                    <a:fld id="{C45B5510-DAF5-440E-A517-7F8D55B9DA4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22B-432A-9113-51595FD3208C}"/>
                </c:ext>
              </c:extLst>
            </c:dLbl>
            <c:dLbl>
              <c:idx val="4"/>
              <c:tx>
                <c:rich>
                  <a:bodyPr/>
                  <a:lstStyle/>
                  <a:p>
                    <a:fld id="{6643B1E8-19FF-4FF7-A34B-CD99A51CD59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22B-432A-9113-51595FD320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'ECHP analysis'!$B$3:$B$7</c:f>
              <c:strCache>
                <c:ptCount val="5"/>
                <c:pt idx="0">
                  <c:v>2014-15</c:v>
                </c:pt>
                <c:pt idx="1">
                  <c:v>2015-16</c:v>
                </c:pt>
                <c:pt idx="2">
                  <c:v>2016-17</c:v>
                </c:pt>
                <c:pt idx="3">
                  <c:v>2017-18</c:v>
                </c:pt>
                <c:pt idx="4">
                  <c:v>2018-19</c:v>
                </c:pt>
              </c:strCache>
            </c:strRef>
          </c:cat>
          <c:val>
            <c:numRef>
              <c:f>'ECHP analysis'!$D$3:$D$7</c:f>
              <c:numCache>
                <c:formatCode>General</c:formatCode>
                <c:ptCount val="5"/>
                <c:pt idx="0">
                  <c:v>24</c:v>
                </c:pt>
                <c:pt idx="1">
                  <c:v>87</c:v>
                </c:pt>
                <c:pt idx="2">
                  <c:v>108</c:v>
                </c:pt>
                <c:pt idx="3">
                  <c:v>100</c:v>
                </c:pt>
                <c:pt idx="4">
                  <c:v>80</c:v>
                </c:pt>
              </c:numCache>
            </c:numRef>
          </c:val>
          <c:extLst>
            <c:ext xmlns:c15="http://schemas.microsoft.com/office/drawing/2012/chart" uri="{02D57815-91ED-43cb-92C2-25804820EDAC}">
              <c15:datalabelsRange>
                <c15:f>'ECHP analysis'!$D$3:$D$7</c15:f>
                <c15:dlblRangeCache>
                  <c:ptCount val="5"/>
                  <c:pt idx="0">
                    <c:v>24</c:v>
                  </c:pt>
                  <c:pt idx="1">
                    <c:v>87</c:v>
                  </c:pt>
                  <c:pt idx="2">
                    <c:v>108</c:v>
                  </c:pt>
                  <c:pt idx="3">
                    <c:v>100</c:v>
                  </c:pt>
                  <c:pt idx="4">
                    <c:v>80</c:v>
                  </c:pt>
                </c15:dlblRangeCache>
              </c15:datalabelsRange>
            </c:ext>
            <c:ext xmlns:c16="http://schemas.microsoft.com/office/drawing/2014/chart" uri="{C3380CC4-5D6E-409C-BE32-E72D297353CC}">
              <c16:uniqueId val="{0000000B-422B-432A-9113-51595FD3208C}"/>
            </c:ext>
          </c:extLst>
        </c:ser>
        <c:dLbls>
          <c:showLegendKey val="0"/>
          <c:showVal val="0"/>
          <c:showCatName val="0"/>
          <c:showSerName val="0"/>
          <c:showPercent val="0"/>
          <c:showBubbleSize val="0"/>
        </c:dLbls>
        <c:gapWidth val="150"/>
        <c:axId val="731513400"/>
        <c:axId val="731515368"/>
      </c:barChart>
      <c:lineChart>
        <c:grouping val="standard"/>
        <c:varyColors val="0"/>
        <c:ser>
          <c:idx val="2"/>
          <c:order val="2"/>
          <c:tx>
            <c:strRef>
              <c:f>'ECHP analysis'!$F$2</c:f>
              <c:strCache>
                <c:ptCount val="1"/>
                <c:pt idx="0">
                  <c:v>% Boys</c:v>
                </c:pt>
              </c:strCache>
            </c:strRef>
          </c:tx>
          <c:spPr>
            <a:ln w="28575" cap="sq">
              <a:solidFill>
                <a:schemeClr val="accent1">
                  <a:lumMod val="40000"/>
                  <a:lumOff val="60000"/>
                </a:schemeClr>
              </a:solidFill>
              <a:prstDash val="dash"/>
              <a:miter lim="800000"/>
              <a:headEnd type="oval"/>
            </a:ln>
            <a:effectLst/>
          </c:spPr>
          <c:marker>
            <c:symbol val="star"/>
            <c:size val="10"/>
            <c:spPr>
              <a:noFill/>
              <a:ln w="9525">
                <a:solidFill>
                  <a:schemeClr val="accent3"/>
                </a:solidFill>
              </a:ln>
              <a:effectLst/>
            </c:spPr>
          </c:marker>
          <c:dLbls>
            <c:dLbl>
              <c:idx val="0"/>
              <c:layout>
                <c:manualLayout>
                  <c:x val="-2.9304029304029304E-2"/>
                  <c:y val="-3.140949749008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2B-432A-9113-51595FD3208C}"/>
                </c:ext>
              </c:extLst>
            </c:dLbl>
            <c:dLbl>
              <c:idx val="1"/>
              <c:layout>
                <c:manualLayout>
                  <c:x val="-2.7676027676027677E-2"/>
                  <c:y val="-5.025519598413499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5091510997022811E-2"/>
                      <c:h val="5.02082053973388E-2"/>
                    </c:manualLayout>
                  </c15:layout>
                </c:ext>
                <c:ext xmlns:c16="http://schemas.microsoft.com/office/drawing/2014/chart" uri="{C3380CC4-5D6E-409C-BE32-E72D297353CC}">
                  <c16:uniqueId val="{0000000D-422B-432A-9113-51595FD3208C}"/>
                </c:ext>
              </c:extLst>
            </c:dLbl>
            <c:dLbl>
              <c:idx val="2"/>
              <c:layout>
                <c:manualLayout>
                  <c:x val="-2.7676027676027736E-2"/>
                  <c:y val="-4.0832346737109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2B-432A-9113-51595FD3208C}"/>
                </c:ext>
              </c:extLst>
            </c:dLbl>
            <c:dLbl>
              <c:idx val="3"/>
              <c:layout>
                <c:manualLayout>
                  <c:x val="-3.9072039072039072E-2"/>
                  <c:y val="-4.397329648611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2B-432A-9113-51595FD3208C}"/>
                </c:ext>
              </c:extLst>
            </c:dLbl>
            <c:dLbl>
              <c:idx val="4"/>
              <c:layout>
                <c:manualLayout>
                  <c:x val="-3.0932030932030931E-2"/>
                  <c:y val="-3.7691396988101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2B-432A-9113-51595FD320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analysis'!$B$3:$B$7</c:f>
              <c:strCache>
                <c:ptCount val="5"/>
                <c:pt idx="0">
                  <c:v>2014-15</c:v>
                </c:pt>
                <c:pt idx="1">
                  <c:v>2015-16</c:v>
                </c:pt>
                <c:pt idx="2">
                  <c:v>2016-17</c:v>
                </c:pt>
                <c:pt idx="3">
                  <c:v>2017-18</c:v>
                </c:pt>
                <c:pt idx="4">
                  <c:v>2018-19</c:v>
                </c:pt>
              </c:strCache>
            </c:strRef>
          </c:cat>
          <c:val>
            <c:numRef>
              <c:f>'ECHP analysis'!$F$3:$F$7</c:f>
              <c:numCache>
                <c:formatCode>0%</c:formatCode>
                <c:ptCount val="5"/>
                <c:pt idx="0">
                  <c:v>0.88888888888888884</c:v>
                </c:pt>
                <c:pt idx="1">
                  <c:v>0.79090909090909089</c:v>
                </c:pt>
                <c:pt idx="2">
                  <c:v>0.75</c:v>
                </c:pt>
                <c:pt idx="3">
                  <c:v>0.78125</c:v>
                </c:pt>
                <c:pt idx="4">
                  <c:v>0.66666666666666663</c:v>
                </c:pt>
              </c:numCache>
            </c:numRef>
          </c:val>
          <c:smooth val="0"/>
          <c:extLst>
            <c:ext xmlns:c16="http://schemas.microsoft.com/office/drawing/2014/chart" uri="{C3380CC4-5D6E-409C-BE32-E72D297353CC}">
              <c16:uniqueId val="{00000011-422B-432A-9113-51595FD3208C}"/>
            </c:ext>
          </c:extLst>
        </c:ser>
        <c:ser>
          <c:idx val="3"/>
          <c:order val="3"/>
          <c:tx>
            <c:strRef>
              <c:f>'ECHP analysis'!$G$2</c:f>
              <c:strCache>
                <c:ptCount val="1"/>
                <c:pt idx="0">
                  <c:v>% Girls</c:v>
                </c:pt>
              </c:strCache>
            </c:strRef>
          </c:tx>
          <c:spPr>
            <a:ln w="22225" cap="rnd">
              <a:solidFill>
                <a:srgbClr val="FFCCFF"/>
              </a:solidFill>
              <a:prstDash val="dash"/>
              <a:round/>
            </a:ln>
            <a:effectLst/>
          </c:spPr>
          <c:marker>
            <c:symbol val="star"/>
            <c:size val="10"/>
            <c:spPr>
              <a:noFill/>
              <a:ln w="28575">
                <a:solidFill>
                  <a:srgbClr val="FFCCFF"/>
                </a:solidFill>
              </a:ln>
              <a:effectLst/>
            </c:spPr>
          </c:marker>
          <c:dLbls>
            <c:dLbl>
              <c:idx val="0"/>
              <c:layout>
                <c:manualLayout>
                  <c:x val="-3.5816035816035818E-2"/>
                  <c:y val="-4.0832346737109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2B-432A-9113-51595FD3208C}"/>
                </c:ext>
              </c:extLst>
            </c:dLbl>
            <c:dLbl>
              <c:idx val="1"/>
              <c:layout>
                <c:manualLayout>
                  <c:x val="-3.4188034188034191E-2"/>
                  <c:y val="-3.769139698810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2B-432A-9113-51595FD3208C}"/>
                </c:ext>
              </c:extLst>
            </c:dLbl>
            <c:dLbl>
              <c:idx val="2"/>
              <c:layout>
                <c:manualLayout>
                  <c:x val="-3.256003256003262E-2"/>
                  <c:y val="-4.0832346737109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22B-432A-9113-51595FD3208C}"/>
                </c:ext>
              </c:extLst>
            </c:dLbl>
            <c:dLbl>
              <c:idx val="3"/>
              <c:layout>
                <c:manualLayout>
                  <c:x val="-3.5816035816035818E-2"/>
                  <c:y val="-3.769139698810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22B-432A-9113-51595FD3208C}"/>
                </c:ext>
              </c:extLst>
            </c:dLbl>
            <c:dLbl>
              <c:idx val="4"/>
              <c:layout>
                <c:manualLayout>
                  <c:x val="-2.9304029304029422E-2"/>
                  <c:y val="-3.769139698810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2B-432A-9113-51595FD320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analysis'!$B$3:$B$7</c:f>
              <c:strCache>
                <c:ptCount val="5"/>
                <c:pt idx="0">
                  <c:v>2014-15</c:v>
                </c:pt>
                <c:pt idx="1">
                  <c:v>2015-16</c:v>
                </c:pt>
                <c:pt idx="2">
                  <c:v>2016-17</c:v>
                </c:pt>
                <c:pt idx="3">
                  <c:v>2017-18</c:v>
                </c:pt>
                <c:pt idx="4">
                  <c:v>2018-19</c:v>
                </c:pt>
              </c:strCache>
            </c:strRef>
          </c:cat>
          <c:val>
            <c:numRef>
              <c:f>'ECHP analysis'!$G$3:$G$7</c:f>
              <c:numCache>
                <c:formatCode>0%</c:formatCode>
                <c:ptCount val="5"/>
                <c:pt idx="0">
                  <c:v>0.1111111111111111</c:v>
                </c:pt>
                <c:pt idx="1">
                  <c:v>0.20909090909090908</c:v>
                </c:pt>
                <c:pt idx="2">
                  <c:v>0.25</c:v>
                </c:pt>
                <c:pt idx="3">
                  <c:v>0.21875</c:v>
                </c:pt>
                <c:pt idx="4">
                  <c:v>0.33333333333333331</c:v>
                </c:pt>
              </c:numCache>
            </c:numRef>
          </c:val>
          <c:smooth val="0"/>
          <c:extLst>
            <c:ext xmlns:c16="http://schemas.microsoft.com/office/drawing/2014/chart" uri="{C3380CC4-5D6E-409C-BE32-E72D297353CC}">
              <c16:uniqueId val="{00000017-422B-432A-9113-51595FD3208C}"/>
            </c:ext>
          </c:extLst>
        </c:ser>
        <c:dLbls>
          <c:showLegendKey val="0"/>
          <c:showVal val="0"/>
          <c:showCatName val="0"/>
          <c:showSerName val="0"/>
          <c:showPercent val="0"/>
          <c:showBubbleSize val="0"/>
        </c:dLbls>
        <c:marker val="1"/>
        <c:smooth val="0"/>
        <c:axId val="655209944"/>
        <c:axId val="655206336"/>
      </c:lineChart>
      <c:catAx>
        <c:axId val="731513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515368"/>
        <c:crosses val="autoZero"/>
        <c:auto val="1"/>
        <c:lblAlgn val="ctr"/>
        <c:lblOffset val="100"/>
        <c:noMultiLvlLbl val="0"/>
      </c:catAx>
      <c:valAx>
        <c:axId val="731515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Number</a:t>
                </a:r>
                <a:r>
                  <a:rPr lang="en-GB" sz="1200" baseline="0"/>
                  <a:t> of EHCP</a:t>
                </a:r>
                <a:endParaRPr lang="en-GB"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513400"/>
        <c:crosses val="autoZero"/>
        <c:crossBetween val="between"/>
      </c:valAx>
      <c:valAx>
        <c:axId val="655206336"/>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Percentage EHCP by Gender</a:t>
                </a:r>
              </a:p>
            </c:rich>
          </c:tx>
          <c:layout>
            <c:manualLayout>
              <c:xMode val="edge"/>
              <c:yMode val="edge"/>
              <c:x val="0.93231853071262816"/>
              <c:y val="0.1050846001299160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209944"/>
        <c:crosses val="max"/>
        <c:crossBetween val="between"/>
      </c:valAx>
      <c:catAx>
        <c:axId val="655209944"/>
        <c:scaling>
          <c:orientation val="minMax"/>
        </c:scaling>
        <c:delete val="1"/>
        <c:axPos val="b"/>
        <c:numFmt formatCode="General" sourceLinked="1"/>
        <c:majorTickMark val="out"/>
        <c:minorTickMark val="none"/>
        <c:tickLblPos val="nextTo"/>
        <c:crossAx val="655206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6887557196943"/>
          <c:y val="0.14563095106069485"/>
          <c:w val="0.85839887270728332"/>
          <c:h val="0.63821416689111032"/>
        </c:manualLayout>
      </c:layout>
      <c:barChart>
        <c:barDir val="col"/>
        <c:grouping val="clustered"/>
        <c:varyColors val="0"/>
        <c:ser>
          <c:idx val="5"/>
          <c:order val="0"/>
          <c:tx>
            <c:strRef>
              <c:f>'ECHP analysis'!$B$25</c:f>
              <c:strCache>
                <c:ptCount val="1"/>
                <c:pt idx="0">
                  <c:v>Tipton</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analysis'!$H$24:$L$24</c:f>
              <c:strCache>
                <c:ptCount val="4"/>
                <c:pt idx="0">
                  <c:v>2015-16</c:v>
                </c:pt>
                <c:pt idx="1">
                  <c:v>2016-17</c:v>
                </c:pt>
                <c:pt idx="2">
                  <c:v>2017-18</c:v>
                </c:pt>
                <c:pt idx="3">
                  <c:v>2018-19</c:v>
                </c:pt>
              </c:strCache>
            </c:strRef>
          </c:cat>
          <c:val>
            <c:numRef>
              <c:f>'ECHP analysis'!$H$25:$L$25</c:f>
              <c:numCache>
                <c:formatCode>0.0</c:formatCode>
                <c:ptCount val="4"/>
                <c:pt idx="0">
                  <c:v>5.4916317991631791</c:v>
                </c:pt>
                <c:pt idx="1">
                  <c:v>7.3221757322175733</c:v>
                </c:pt>
                <c:pt idx="2">
                  <c:v>5.4916317991631791</c:v>
                </c:pt>
                <c:pt idx="3">
                  <c:v>5.4916317991631791</c:v>
                </c:pt>
              </c:numCache>
            </c:numRef>
          </c:val>
          <c:extLst>
            <c:ext xmlns:c16="http://schemas.microsoft.com/office/drawing/2014/chart" uri="{C3380CC4-5D6E-409C-BE32-E72D297353CC}">
              <c16:uniqueId val="{00000000-0304-425F-A96D-97E0C9CF60CC}"/>
            </c:ext>
          </c:extLst>
        </c:ser>
        <c:ser>
          <c:idx val="0"/>
          <c:order val="1"/>
          <c:tx>
            <c:strRef>
              <c:f>'ECHP analysis'!$B$26</c:f>
              <c:strCache>
                <c:ptCount val="1"/>
                <c:pt idx="0">
                  <c:v>Wednesbury</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analysis'!$H$24:$L$24</c:f>
              <c:strCache>
                <c:ptCount val="4"/>
                <c:pt idx="0">
                  <c:v>2015-16</c:v>
                </c:pt>
                <c:pt idx="1">
                  <c:v>2016-17</c:v>
                </c:pt>
                <c:pt idx="2">
                  <c:v>2017-18</c:v>
                </c:pt>
                <c:pt idx="3">
                  <c:v>2018-19</c:v>
                </c:pt>
              </c:strCache>
            </c:strRef>
          </c:cat>
          <c:val>
            <c:numRef>
              <c:f>'ECHP analysis'!$H$26:$L$26</c:f>
              <c:numCache>
                <c:formatCode>0.0</c:formatCode>
                <c:ptCount val="4"/>
                <c:pt idx="0">
                  <c:v>3.5831591519856674</c:v>
                </c:pt>
                <c:pt idx="1">
                  <c:v>5.0761421319796947</c:v>
                </c:pt>
                <c:pt idx="2">
                  <c:v>5.3747387279785013</c:v>
                </c:pt>
                <c:pt idx="3">
                  <c:v>4.7775455359808898</c:v>
                </c:pt>
              </c:numCache>
            </c:numRef>
          </c:val>
          <c:extLst>
            <c:ext xmlns:c16="http://schemas.microsoft.com/office/drawing/2014/chart" uri="{C3380CC4-5D6E-409C-BE32-E72D297353CC}">
              <c16:uniqueId val="{00000001-0304-425F-A96D-97E0C9CF60CC}"/>
            </c:ext>
          </c:extLst>
        </c:ser>
        <c:ser>
          <c:idx val="1"/>
          <c:order val="2"/>
          <c:tx>
            <c:strRef>
              <c:f>'ECHP analysis'!$B$27</c:f>
              <c:strCache>
                <c:ptCount val="1"/>
                <c:pt idx="0">
                  <c:v>West Bromwich</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analysis'!$H$24:$L$24</c:f>
              <c:strCache>
                <c:ptCount val="4"/>
                <c:pt idx="0">
                  <c:v>2015-16</c:v>
                </c:pt>
                <c:pt idx="1">
                  <c:v>2016-17</c:v>
                </c:pt>
                <c:pt idx="2">
                  <c:v>2017-18</c:v>
                </c:pt>
                <c:pt idx="3">
                  <c:v>2018-19</c:v>
                </c:pt>
              </c:strCache>
            </c:strRef>
          </c:cat>
          <c:val>
            <c:numRef>
              <c:f>'ECHP analysis'!$H$27:$L$27</c:f>
              <c:numCache>
                <c:formatCode>0.0</c:formatCode>
                <c:ptCount val="4"/>
                <c:pt idx="0">
                  <c:v>3.6507009345794392</c:v>
                </c:pt>
                <c:pt idx="1">
                  <c:v>4.3808411214953269</c:v>
                </c:pt>
                <c:pt idx="2">
                  <c:v>4.8189252336448591</c:v>
                </c:pt>
                <c:pt idx="3">
                  <c:v>4.5268691588785046</c:v>
                </c:pt>
              </c:numCache>
            </c:numRef>
          </c:val>
          <c:extLst>
            <c:ext xmlns:c16="http://schemas.microsoft.com/office/drawing/2014/chart" uri="{C3380CC4-5D6E-409C-BE32-E72D297353CC}">
              <c16:uniqueId val="{00000002-0304-425F-A96D-97E0C9CF60CC}"/>
            </c:ext>
          </c:extLst>
        </c:ser>
        <c:ser>
          <c:idx val="3"/>
          <c:order val="4"/>
          <c:tx>
            <c:strRef>
              <c:f>'ECHP analysis'!$B$29</c:f>
              <c:strCache>
                <c:ptCount val="1"/>
                <c:pt idx="0">
                  <c:v>Oldbury</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analysis'!$H$24:$L$24</c:f>
              <c:strCache>
                <c:ptCount val="4"/>
                <c:pt idx="0">
                  <c:v>2015-16</c:v>
                </c:pt>
                <c:pt idx="1">
                  <c:v>2016-17</c:v>
                </c:pt>
                <c:pt idx="2">
                  <c:v>2017-18</c:v>
                </c:pt>
                <c:pt idx="3">
                  <c:v>2018-19</c:v>
                </c:pt>
              </c:strCache>
            </c:strRef>
          </c:cat>
          <c:val>
            <c:numRef>
              <c:f>'ECHP analysis'!$H$29:$L$29</c:f>
              <c:numCache>
                <c:formatCode>0.0</c:formatCode>
                <c:ptCount val="4"/>
                <c:pt idx="0">
                  <c:v>3.2244196044711955</c:v>
                </c:pt>
                <c:pt idx="1">
                  <c:v>4.5141874462596734</c:v>
                </c:pt>
                <c:pt idx="2">
                  <c:v>4.2992261392949267</c:v>
                </c:pt>
                <c:pt idx="3">
                  <c:v>4.08426483233018</c:v>
                </c:pt>
              </c:numCache>
            </c:numRef>
          </c:val>
          <c:extLst>
            <c:ext xmlns:c16="http://schemas.microsoft.com/office/drawing/2014/chart" uri="{C3380CC4-5D6E-409C-BE32-E72D297353CC}">
              <c16:uniqueId val="{00000003-0304-425F-A96D-97E0C9CF60CC}"/>
            </c:ext>
          </c:extLst>
        </c:ser>
        <c:ser>
          <c:idx val="4"/>
          <c:order val="5"/>
          <c:tx>
            <c:strRef>
              <c:f>'ECHP analysis'!$B$30</c:f>
              <c:strCache>
                <c:ptCount val="1"/>
                <c:pt idx="0">
                  <c:v>Smethwick</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analysis'!$H$24:$L$24</c:f>
              <c:strCache>
                <c:ptCount val="4"/>
                <c:pt idx="0">
                  <c:v>2015-16</c:v>
                </c:pt>
                <c:pt idx="1">
                  <c:v>2016-17</c:v>
                </c:pt>
                <c:pt idx="2">
                  <c:v>2017-18</c:v>
                </c:pt>
                <c:pt idx="3">
                  <c:v>2018-19</c:v>
                </c:pt>
              </c:strCache>
            </c:strRef>
          </c:cat>
          <c:val>
            <c:numRef>
              <c:f>'ECHP analysis'!$H$30:$L$30</c:f>
              <c:numCache>
                <c:formatCode>0.0</c:formatCode>
                <c:ptCount val="4"/>
                <c:pt idx="0">
                  <c:v>3.0254777070063694</c:v>
                </c:pt>
                <c:pt idx="1">
                  <c:v>4.7770700636942669</c:v>
                </c:pt>
                <c:pt idx="2">
                  <c:v>4.4585987261146496</c:v>
                </c:pt>
                <c:pt idx="3">
                  <c:v>3.6624203821656049</c:v>
                </c:pt>
              </c:numCache>
            </c:numRef>
          </c:val>
          <c:extLst>
            <c:ext xmlns:c16="http://schemas.microsoft.com/office/drawing/2014/chart" uri="{C3380CC4-5D6E-409C-BE32-E72D297353CC}">
              <c16:uniqueId val="{00000004-0304-425F-A96D-97E0C9CF60CC}"/>
            </c:ext>
          </c:extLst>
        </c:ser>
        <c:ser>
          <c:idx val="6"/>
          <c:order val="6"/>
          <c:tx>
            <c:strRef>
              <c:f>'ECHP analysis'!$B$31</c:f>
              <c:strCache>
                <c:ptCount val="1"/>
                <c:pt idx="0">
                  <c:v>Rowley Regis</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analysis'!$H$24:$L$24</c:f>
              <c:strCache>
                <c:ptCount val="4"/>
                <c:pt idx="0">
                  <c:v>2015-16</c:v>
                </c:pt>
                <c:pt idx="1">
                  <c:v>2016-17</c:v>
                </c:pt>
                <c:pt idx="2">
                  <c:v>2017-18</c:v>
                </c:pt>
                <c:pt idx="3">
                  <c:v>2018-19</c:v>
                </c:pt>
              </c:strCache>
            </c:strRef>
          </c:cat>
          <c:val>
            <c:numRef>
              <c:f>'ECHP analysis'!$H$31:$L$31</c:f>
              <c:numCache>
                <c:formatCode>0.0</c:formatCode>
                <c:ptCount val="4"/>
                <c:pt idx="0">
                  <c:v>4.0909090909090908</c:v>
                </c:pt>
                <c:pt idx="1">
                  <c:v>3.8636363636363638</c:v>
                </c:pt>
                <c:pt idx="2">
                  <c:v>1.5909090909090911</c:v>
                </c:pt>
                <c:pt idx="3">
                  <c:v>2.2727272727272725</c:v>
                </c:pt>
              </c:numCache>
            </c:numRef>
          </c:val>
          <c:extLst>
            <c:ext xmlns:c16="http://schemas.microsoft.com/office/drawing/2014/chart" uri="{C3380CC4-5D6E-409C-BE32-E72D297353CC}">
              <c16:uniqueId val="{00000005-0304-425F-A96D-97E0C9CF60CC}"/>
            </c:ext>
          </c:extLst>
        </c:ser>
        <c:dLbls>
          <c:showLegendKey val="0"/>
          <c:showVal val="0"/>
          <c:showCatName val="0"/>
          <c:showSerName val="0"/>
          <c:showPercent val="0"/>
          <c:showBubbleSize val="0"/>
        </c:dLbls>
        <c:gapWidth val="150"/>
        <c:axId val="725797568"/>
        <c:axId val="725801504"/>
      </c:barChart>
      <c:lineChart>
        <c:grouping val="standard"/>
        <c:varyColors val="0"/>
        <c:ser>
          <c:idx val="2"/>
          <c:order val="3"/>
          <c:tx>
            <c:strRef>
              <c:f>'ECHP analysis'!$B$28</c:f>
              <c:strCache>
                <c:ptCount val="1"/>
                <c:pt idx="0">
                  <c:v>sandwell</c:v>
                </c:pt>
              </c:strCache>
            </c:strRef>
          </c:tx>
          <c:spPr>
            <a:ln w="28575" cap="rnd">
              <a:solidFill>
                <a:srgbClr val="FF0000"/>
              </a:solidFill>
              <a:round/>
            </a:ln>
            <a:effectLst/>
          </c:spPr>
          <c:marker>
            <c:symbol val="star"/>
            <c:size val="10"/>
            <c:spPr>
              <a:noFill/>
              <a:ln w="9525">
                <a:solidFill>
                  <a:srgbClr val="FF0000"/>
                </a:solidFill>
              </a:ln>
              <a:effectLst/>
            </c:spPr>
          </c:marker>
          <c:dLbls>
            <c:dLbl>
              <c:idx val="0"/>
              <c:layout>
                <c:manualLayout>
                  <c:x val="-2.2962112514351322E-2"/>
                  <c:y val="-5.0890571646712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04-425F-A96D-97E0C9CF60CC}"/>
                </c:ext>
              </c:extLst>
            </c:dLbl>
            <c:dLbl>
              <c:idx val="1"/>
              <c:layout>
                <c:manualLayout>
                  <c:x val="-2.4492920015308076E-2"/>
                  <c:y val="-4.4105162093817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04-425F-A96D-97E0C9CF60CC}"/>
                </c:ext>
              </c:extLst>
            </c:dLbl>
            <c:dLbl>
              <c:idx val="2"/>
              <c:layout>
                <c:manualLayout>
                  <c:x val="-2.4492920015308187E-2"/>
                  <c:y val="-5.4283276423159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04-425F-A96D-97E0C9CF60CC}"/>
                </c:ext>
              </c:extLst>
            </c:dLbl>
            <c:dLbl>
              <c:idx val="3"/>
              <c:layout>
                <c:manualLayout>
                  <c:x val="-2.7554535017221583E-2"/>
                  <c:y val="-5.0890571646712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04-425F-A96D-97E0C9CF60CC}"/>
                </c:ext>
              </c:extLst>
            </c:dLbl>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'ECHP analysis'!$H$24:$L$24</c:f>
              <c:strCache>
                <c:ptCount val="4"/>
                <c:pt idx="0">
                  <c:v>2015-16</c:v>
                </c:pt>
                <c:pt idx="1">
                  <c:v>2016-17</c:v>
                </c:pt>
                <c:pt idx="2">
                  <c:v>2017-18</c:v>
                </c:pt>
                <c:pt idx="3">
                  <c:v>2018-19</c:v>
                </c:pt>
              </c:strCache>
            </c:strRef>
          </c:cat>
          <c:val>
            <c:numRef>
              <c:f>'ECHP analysis'!$H$28:$L$28</c:f>
              <c:numCache>
                <c:formatCode>0.0</c:formatCode>
                <c:ptCount val="4"/>
                <c:pt idx="0">
                  <c:v>3.74748747998501</c:v>
                </c:pt>
                <c:pt idx="1">
                  <c:v>4.8717337239805127</c:v>
                </c:pt>
                <c:pt idx="2">
                  <c:v>4.326644635982694</c:v>
                </c:pt>
                <c:pt idx="3">
                  <c:v>4.0881681599836472</c:v>
                </c:pt>
              </c:numCache>
            </c:numRef>
          </c:val>
          <c:smooth val="0"/>
          <c:extLst>
            <c:ext xmlns:c16="http://schemas.microsoft.com/office/drawing/2014/chart" uri="{C3380CC4-5D6E-409C-BE32-E72D297353CC}">
              <c16:uniqueId val="{0000000A-0304-425F-A96D-97E0C9CF60CC}"/>
            </c:ext>
          </c:extLst>
        </c:ser>
        <c:dLbls>
          <c:showLegendKey val="0"/>
          <c:showVal val="0"/>
          <c:showCatName val="0"/>
          <c:showSerName val="0"/>
          <c:showPercent val="0"/>
          <c:showBubbleSize val="0"/>
        </c:dLbls>
        <c:marker val="1"/>
        <c:smooth val="0"/>
        <c:axId val="725797568"/>
        <c:axId val="725801504"/>
      </c:lineChart>
      <c:catAx>
        <c:axId val="72579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crossAx val="725801504"/>
        <c:crosses val="autoZero"/>
        <c:auto val="1"/>
        <c:lblAlgn val="ctr"/>
        <c:lblOffset val="100"/>
        <c:noMultiLvlLbl val="0"/>
      </c:catAx>
      <c:valAx>
        <c:axId val="72580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Rate per 1,000  Children age 0-5 years</a:t>
                </a:r>
              </a:p>
            </c:rich>
          </c:tx>
          <c:layout>
            <c:manualLayout>
              <c:xMode val="edge"/>
              <c:yMode val="edge"/>
              <c:x val="2.6678166995909962E-2"/>
              <c:y val="0.165159460701215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crossAx val="72579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8322651529023"/>
          <c:y val="0.1541722819008742"/>
          <c:w val="0.68646603186229627"/>
          <c:h val="0.59495544504546027"/>
        </c:manualLayout>
      </c:layout>
      <c:barChart>
        <c:barDir val="col"/>
        <c:grouping val="clustered"/>
        <c:varyColors val="0"/>
        <c:ser>
          <c:idx val="1"/>
          <c:order val="0"/>
          <c:tx>
            <c:strRef>
              <c:f>'HI VI original data'!$A$7</c:f>
              <c:strCache>
                <c:ptCount val="1"/>
                <c:pt idx="0">
                  <c:v>Boys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 VI original data'!$C$4:$F$4</c:f>
              <c:strCache>
                <c:ptCount val="4"/>
                <c:pt idx="0">
                  <c:v>2015-2016</c:v>
                </c:pt>
                <c:pt idx="1">
                  <c:v>2016-2017</c:v>
                </c:pt>
                <c:pt idx="2">
                  <c:v>2017-2018</c:v>
                </c:pt>
                <c:pt idx="3">
                  <c:v>2018-2019</c:v>
                </c:pt>
              </c:strCache>
            </c:strRef>
          </c:cat>
          <c:val>
            <c:numRef>
              <c:f>'HI VI original data'!$C$7:$F$7</c:f>
              <c:numCache>
                <c:formatCode>General</c:formatCode>
                <c:ptCount val="4"/>
                <c:pt idx="0">
                  <c:v>39</c:v>
                </c:pt>
                <c:pt idx="1">
                  <c:v>30</c:v>
                </c:pt>
                <c:pt idx="2">
                  <c:v>25</c:v>
                </c:pt>
                <c:pt idx="3">
                  <c:v>18</c:v>
                </c:pt>
              </c:numCache>
            </c:numRef>
          </c:val>
          <c:extLst>
            <c:ext xmlns:c16="http://schemas.microsoft.com/office/drawing/2014/chart" uri="{C3380CC4-5D6E-409C-BE32-E72D297353CC}">
              <c16:uniqueId val="{00000000-ABAD-4A57-9349-D19996DBF0AB}"/>
            </c:ext>
          </c:extLst>
        </c:ser>
        <c:ser>
          <c:idx val="0"/>
          <c:order val="1"/>
          <c:tx>
            <c:strRef>
              <c:f>'HI VI original data'!$A$8</c:f>
              <c:strCache>
                <c:ptCount val="1"/>
                <c:pt idx="0">
                  <c:v>Girls</c:v>
                </c:pt>
              </c:strCache>
            </c:strRef>
          </c:tx>
          <c:spPr>
            <a:solidFill>
              <a:srgbClr val="FF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 VI original data'!$C$4:$F$4</c:f>
              <c:strCache>
                <c:ptCount val="4"/>
                <c:pt idx="0">
                  <c:v>2015-2016</c:v>
                </c:pt>
                <c:pt idx="1">
                  <c:v>2016-2017</c:v>
                </c:pt>
                <c:pt idx="2">
                  <c:v>2017-2018</c:v>
                </c:pt>
                <c:pt idx="3">
                  <c:v>2018-2019</c:v>
                </c:pt>
              </c:strCache>
            </c:strRef>
          </c:cat>
          <c:val>
            <c:numRef>
              <c:f>'HI VI original data'!$C$8:$F$8</c:f>
              <c:numCache>
                <c:formatCode>General</c:formatCode>
                <c:ptCount val="4"/>
                <c:pt idx="0">
                  <c:v>16</c:v>
                </c:pt>
                <c:pt idx="1">
                  <c:v>21</c:v>
                </c:pt>
                <c:pt idx="2">
                  <c:v>17</c:v>
                </c:pt>
                <c:pt idx="3">
                  <c:v>19</c:v>
                </c:pt>
              </c:numCache>
            </c:numRef>
          </c:val>
          <c:extLst>
            <c:ext xmlns:c16="http://schemas.microsoft.com/office/drawing/2014/chart" uri="{C3380CC4-5D6E-409C-BE32-E72D297353CC}">
              <c16:uniqueId val="{00000001-ABAD-4A57-9349-D19996DBF0AB}"/>
            </c:ext>
          </c:extLst>
        </c:ser>
        <c:dLbls>
          <c:showLegendKey val="0"/>
          <c:showVal val="0"/>
          <c:showCatName val="0"/>
          <c:showSerName val="0"/>
          <c:showPercent val="0"/>
          <c:showBubbleSize val="0"/>
        </c:dLbls>
        <c:gapWidth val="150"/>
        <c:axId val="731513400"/>
        <c:axId val="731515368"/>
      </c:barChart>
      <c:lineChart>
        <c:grouping val="standard"/>
        <c:varyColors val="0"/>
        <c:ser>
          <c:idx val="2"/>
          <c:order val="2"/>
          <c:tx>
            <c:strRef>
              <c:f>'HI VI original data'!$A$10</c:f>
              <c:strCache>
                <c:ptCount val="1"/>
                <c:pt idx="0">
                  <c:v>Boys</c:v>
                </c:pt>
              </c:strCache>
            </c:strRef>
          </c:tx>
          <c:spPr>
            <a:ln w="28575" cap="rnd">
              <a:solidFill>
                <a:schemeClr val="accent3"/>
              </a:solidFill>
              <a:round/>
            </a:ln>
            <a:effectLst/>
          </c:spPr>
          <c:marker>
            <c:symbol val="star"/>
            <c:size val="12"/>
            <c:spPr>
              <a:noFill/>
              <a:ln w="9525">
                <a:solidFill>
                  <a:srgbClr val="00B0F0"/>
                </a:solidFill>
              </a:ln>
              <a:effectLst/>
            </c:spPr>
          </c:marker>
          <c:dPt>
            <c:idx val="1"/>
            <c:marker>
              <c:symbol val="star"/>
              <c:size val="12"/>
              <c:spPr>
                <a:noFill/>
                <a:ln w="9525">
                  <a:solidFill>
                    <a:srgbClr val="00B0F0"/>
                  </a:solidFill>
                </a:ln>
                <a:effectLst/>
              </c:spPr>
            </c:marker>
            <c:bubble3D val="0"/>
            <c:spPr>
              <a:ln w="28575" cap="rnd">
                <a:solidFill>
                  <a:srgbClr val="00B0F0"/>
                </a:solidFill>
                <a:round/>
              </a:ln>
              <a:effectLst/>
            </c:spPr>
            <c:extLst>
              <c:ext xmlns:c16="http://schemas.microsoft.com/office/drawing/2014/chart" uri="{C3380CC4-5D6E-409C-BE32-E72D297353CC}">
                <c16:uniqueId val="{00000003-ABAD-4A57-9349-D19996DBF0AB}"/>
              </c:ext>
            </c:extLst>
          </c:dPt>
          <c:dPt>
            <c:idx val="2"/>
            <c:marker>
              <c:symbol val="star"/>
              <c:size val="12"/>
              <c:spPr>
                <a:noFill/>
                <a:ln w="9525">
                  <a:solidFill>
                    <a:srgbClr val="00B0F0"/>
                  </a:solidFill>
                </a:ln>
                <a:effectLst/>
              </c:spPr>
            </c:marker>
            <c:bubble3D val="0"/>
            <c:spPr>
              <a:ln w="28575" cap="rnd">
                <a:solidFill>
                  <a:srgbClr val="00B0F0"/>
                </a:solidFill>
                <a:round/>
              </a:ln>
              <a:effectLst/>
            </c:spPr>
            <c:extLst>
              <c:ext xmlns:c16="http://schemas.microsoft.com/office/drawing/2014/chart" uri="{C3380CC4-5D6E-409C-BE32-E72D297353CC}">
                <c16:uniqueId val="{00000005-ABAD-4A57-9349-D19996DBF0AB}"/>
              </c:ext>
            </c:extLst>
          </c:dPt>
          <c:dPt>
            <c:idx val="3"/>
            <c:marker>
              <c:symbol val="star"/>
              <c:size val="12"/>
              <c:spPr>
                <a:noFill/>
                <a:ln w="9525">
                  <a:solidFill>
                    <a:srgbClr val="00B0F0"/>
                  </a:solidFill>
                </a:ln>
                <a:effectLst/>
              </c:spPr>
            </c:marker>
            <c:bubble3D val="0"/>
            <c:spPr>
              <a:ln w="28575" cap="rnd">
                <a:solidFill>
                  <a:srgbClr val="00B0F0"/>
                </a:solidFill>
                <a:round/>
              </a:ln>
              <a:effectLst/>
            </c:spPr>
            <c:extLst>
              <c:ext xmlns:c16="http://schemas.microsoft.com/office/drawing/2014/chart" uri="{C3380CC4-5D6E-409C-BE32-E72D297353CC}">
                <c16:uniqueId val="{00000007-ABAD-4A57-9349-D19996DBF0AB}"/>
              </c:ext>
            </c:extLst>
          </c:dPt>
          <c:dLbls>
            <c:dLbl>
              <c:idx val="3"/>
              <c:layout>
                <c:manualLayout>
                  <c:x val="-6.7244865419859899E-3"/>
                  <c:y val="2.5905852677506222E-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AD-4A57-9349-D19996DBF0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analysis'!$A$6:$A$10</c:f>
              <c:strCache>
                <c:ptCount val="5"/>
                <c:pt idx="0">
                  <c:v>2014-15</c:v>
                </c:pt>
                <c:pt idx="1">
                  <c:v>2015-16</c:v>
                </c:pt>
                <c:pt idx="2">
                  <c:v>2016-17</c:v>
                </c:pt>
                <c:pt idx="3">
                  <c:v>2017-18</c:v>
                </c:pt>
                <c:pt idx="4">
                  <c:v>2018-19</c:v>
                </c:pt>
              </c:strCache>
            </c:strRef>
          </c:cat>
          <c:val>
            <c:numRef>
              <c:f>'HI VI original data'!$C$10:$F$10</c:f>
              <c:numCache>
                <c:formatCode>0%</c:formatCode>
                <c:ptCount val="4"/>
                <c:pt idx="0">
                  <c:v>0.70909090909090911</c:v>
                </c:pt>
                <c:pt idx="1">
                  <c:v>0.58823529411764708</c:v>
                </c:pt>
                <c:pt idx="2">
                  <c:v>0.59523809523809523</c:v>
                </c:pt>
                <c:pt idx="3">
                  <c:v>0.48648648648648651</c:v>
                </c:pt>
              </c:numCache>
            </c:numRef>
          </c:val>
          <c:smooth val="0"/>
          <c:extLst>
            <c:ext xmlns:c16="http://schemas.microsoft.com/office/drawing/2014/chart" uri="{C3380CC4-5D6E-409C-BE32-E72D297353CC}">
              <c16:uniqueId val="{00000008-ABAD-4A57-9349-D19996DBF0AB}"/>
            </c:ext>
          </c:extLst>
        </c:ser>
        <c:ser>
          <c:idx val="3"/>
          <c:order val="3"/>
          <c:tx>
            <c:strRef>
              <c:f>'HI VI original data'!$A$11</c:f>
              <c:strCache>
                <c:ptCount val="1"/>
                <c:pt idx="0">
                  <c:v>Girls</c:v>
                </c:pt>
              </c:strCache>
            </c:strRef>
          </c:tx>
          <c:spPr>
            <a:ln w="28575" cap="rnd">
              <a:solidFill>
                <a:srgbClr val="FF99CC"/>
              </a:solidFill>
              <a:round/>
            </a:ln>
            <a:effectLst/>
          </c:spPr>
          <c:marker>
            <c:symbol val="star"/>
            <c:size val="14"/>
            <c:spPr>
              <a:noFill/>
              <a:ln w="9525">
                <a:solidFill>
                  <a:srgbClr val="FF99CC"/>
                </a:solidFill>
              </a:ln>
              <a:effectLst/>
            </c:spPr>
          </c:marker>
          <c:dLbls>
            <c:dLbl>
              <c:idx val="0"/>
              <c:layout>
                <c:manualLayout>
                  <c:x val="-4.0547361486356293E-2"/>
                  <c:y val="-4.4995739168967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AD-4A57-9349-D19996DBF0AB}"/>
                </c:ext>
              </c:extLst>
            </c:dLbl>
            <c:dLbl>
              <c:idx val="1"/>
              <c:layout>
                <c:manualLayout>
                  <c:x val="-3.8767210173494666E-2"/>
                  <c:y val="-4.1532535705764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AD-4A57-9349-D19996DBF0AB}"/>
                </c:ext>
              </c:extLst>
            </c:dLbl>
            <c:dLbl>
              <c:idx val="2"/>
              <c:layout>
                <c:manualLayout>
                  <c:x val="-3.6987058860633013E-2"/>
                  <c:y val="-5.192214609537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AD-4A57-9349-D19996DBF0AB}"/>
                </c:ext>
              </c:extLst>
            </c:dLbl>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analysis'!$A$6:$A$10</c:f>
              <c:strCache>
                <c:ptCount val="5"/>
                <c:pt idx="0">
                  <c:v>2014-15</c:v>
                </c:pt>
                <c:pt idx="1">
                  <c:v>2015-16</c:v>
                </c:pt>
                <c:pt idx="2">
                  <c:v>2016-17</c:v>
                </c:pt>
                <c:pt idx="3">
                  <c:v>2017-18</c:v>
                </c:pt>
                <c:pt idx="4">
                  <c:v>2018-19</c:v>
                </c:pt>
              </c:strCache>
            </c:strRef>
          </c:cat>
          <c:val>
            <c:numRef>
              <c:f>'HI VI original data'!$C$11:$F$11</c:f>
              <c:numCache>
                <c:formatCode>0%</c:formatCode>
                <c:ptCount val="4"/>
                <c:pt idx="0">
                  <c:v>0.29090909090909089</c:v>
                </c:pt>
                <c:pt idx="1">
                  <c:v>0.41176470588235292</c:v>
                </c:pt>
                <c:pt idx="2">
                  <c:v>0.40476190476190477</c:v>
                </c:pt>
                <c:pt idx="3">
                  <c:v>0.51351351351351349</c:v>
                </c:pt>
              </c:numCache>
            </c:numRef>
          </c:val>
          <c:smooth val="0"/>
          <c:extLst>
            <c:ext xmlns:c16="http://schemas.microsoft.com/office/drawing/2014/chart" uri="{C3380CC4-5D6E-409C-BE32-E72D297353CC}">
              <c16:uniqueId val="{0000000C-ABAD-4A57-9349-D19996DBF0AB}"/>
            </c:ext>
          </c:extLst>
        </c:ser>
        <c:dLbls>
          <c:showLegendKey val="0"/>
          <c:showVal val="0"/>
          <c:showCatName val="0"/>
          <c:showSerName val="0"/>
          <c:showPercent val="0"/>
          <c:showBubbleSize val="0"/>
        </c:dLbls>
        <c:marker val="1"/>
        <c:smooth val="0"/>
        <c:axId val="708707520"/>
        <c:axId val="708706208"/>
      </c:lineChart>
      <c:catAx>
        <c:axId val="731513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515368"/>
        <c:crosses val="autoZero"/>
        <c:auto val="1"/>
        <c:lblAlgn val="ctr"/>
        <c:lblOffset val="100"/>
        <c:noMultiLvlLbl val="0"/>
      </c:catAx>
      <c:valAx>
        <c:axId val="731515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Number</a:t>
                </a:r>
                <a:r>
                  <a:rPr lang="en-GB" sz="1200" baseline="0"/>
                  <a:t> of children</a:t>
                </a:r>
                <a:endParaRPr lang="en-GB" sz="1200"/>
              </a:p>
            </c:rich>
          </c:tx>
          <c:layout>
            <c:manualLayout>
              <c:xMode val="edge"/>
              <c:yMode val="edge"/>
              <c:x val="4.5324246749858015E-2"/>
              <c:y val="0.2952752285274685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513400"/>
        <c:crosses val="autoZero"/>
        <c:crossBetween val="between"/>
      </c:valAx>
      <c:valAx>
        <c:axId val="7087062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boys and girls</a:t>
                </a:r>
              </a:p>
            </c:rich>
          </c:tx>
          <c:layout>
            <c:manualLayout>
              <c:xMode val="edge"/>
              <c:yMode val="edge"/>
              <c:x val="0.89691118842702822"/>
              <c:y val="0.18286768841394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707520"/>
        <c:crosses val="max"/>
        <c:crossBetween val="between"/>
      </c:valAx>
      <c:catAx>
        <c:axId val="708707520"/>
        <c:scaling>
          <c:orientation val="minMax"/>
        </c:scaling>
        <c:delete val="1"/>
        <c:axPos val="b"/>
        <c:numFmt formatCode="General" sourceLinked="1"/>
        <c:majorTickMark val="out"/>
        <c:minorTickMark val="none"/>
        <c:tickLblPos val="nextTo"/>
        <c:crossAx val="708706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6728473456947"/>
          <c:y val="0.15707132641822694"/>
          <c:w val="0.66628741971769656"/>
          <c:h val="0.65245705455920311"/>
        </c:manualLayout>
      </c:layout>
      <c:barChart>
        <c:barDir val="col"/>
        <c:grouping val="percentStacked"/>
        <c:varyColors val="0"/>
        <c:ser>
          <c:idx val="0"/>
          <c:order val="0"/>
          <c:tx>
            <c:strRef>
              <c:f>' &amp; Analysis'!$A$17</c:f>
              <c:strCache>
                <c:ptCount val="1"/>
                <c:pt idx="0">
                  <c:v>Under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Analysis'!$C$16:$F$16</c:f>
              <c:strCache>
                <c:ptCount val="4"/>
                <c:pt idx="0">
                  <c:v>2015-2016</c:v>
                </c:pt>
                <c:pt idx="1">
                  <c:v>2016-2017</c:v>
                </c:pt>
                <c:pt idx="2">
                  <c:v>2017-2018</c:v>
                </c:pt>
                <c:pt idx="3">
                  <c:v>2018-2019</c:v>
                </c:pt>
              </c:strCache>
            </c:strRef>
          </c:cat>
          <c:val>
            <c:numRef>
              <c:f>' &amp; Analysis'!$J$17:$M$17</c:f>
              <c:numCache>
                <c:formatCode>0%</c:formatCode>
                <c:ptCount val="4"/>
                <c:pt idx="0">
                  <c:v>0.36842105263157893</c:v>
                </c:pt>
                <c:pt idx="1">
                  <c:v>0.33962264150943394</c:v>
                </c:pt>
                <c:pt idx="2">
                  <c:v>0.40476190476190477</c:v>
                </c:pt>
                <c:pt idx="3">
                  <c:v>0.3</c:v>
                </c:pt>
              </c:numCache>
            </c:numRef>
          </c:val>
          <c:extLst>
            <c:ext xmlns:c16="http://schemas.microsoft.com/office/drawing/2014/chart" uri="{C3380CC4-5D6E-409C-BE32-E72D297353CC}">
              <c16:uniqueId val="{00000000-9067-4157-8EE5-5619FCF8F5AF}"/>
            </c:ext>
          </c:extLst>
        </c:ser>
        <c:ser>
          <c:idx val="1"/>
          <c:order val="1"/>
          <c:tx>
            <c:strRef>
              <c:f>' &amp; Analysis'!$A$18</c:f>
              <c:strCache>
                <c:ptCount val="1"/>
                <c:pt idx="0">
                  <c:v>1-2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Analysis'!$C$16:$F$16</c:f>
              <c:strCache>
                <c:ptCount val="4"/>
                <c:pt idx="0">
                  <c:v>2015-2016</c:v>
                </c:pt>
                <c:pt idx="1">
                  <c:v>2016-2017</c:v>
                </c:pt>
                <c:pt idx="2">
                  <c:v>2017-2018</c:v>
                </c:pt>
                <c:pt idx="3">
                  <c:v>2018-2019</c:v>
                </c:pt>
              </c:strCache>
            </c:strRef>
          </c:cat>
          <c:val>
            <c:numRef>
              <c:f>' &amp; Analysis'!$J$18:$M$18</c:f>
              <c:numCache>
                <c:formatCode>0%</c:formatCode>
                <c:ptCount val="4"/>
                <c:pt idx="0">
                  <c:v>0.2982456140350877</c:v>
                </c:pt>
                <c:pt idx="1">
                  <c:v>0.24528301886792453</c:v>
                </c:pt>
                <c:pt idx="2">
                  <c:v>0.2857142857142857</c:v>
                </c:pt>
                <c:pt idx="3">
                  <c:v>0.27500000000000002</c:v>
                </c:pt>
              </c:numCache>
            </c:numRef>
          </c:val>
          <c:extLst>
            <c:ext xmlns:c16="http://schemas.microsoft.com/office/drawing/2014/chart" uri="{C3380CC4-5D6E-409C-BE32-E72D297353CC}">
              <c16:uniqueId val="{00000001-9067-4157-8EE5-5619FCF8F5AF}"/>
            </c:ext>
          </c:extLst>
        </c:ser>
        <c:ser>
          <c:idx val="4"/>
          <c:order val="2"/>
          <c:tx>
            <c:strRef>
              <c:f>' &amp; Analysis'!$A$19</c:f>
              <c:strCache>
                <c:ptCount val="1"/>
                <c:pt idx="0">
                  <c:v>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Analysis'!$C$16:$F$16</c:f>
              <c:strCache>
                <c:ptCount val="4"/>
                <c:pt idx="0">
                  <c:v>2015-2016</c:v>
                </c:pt>
                <c:pt idx="1">
                  <c:v>2016-2017</c:v>
                </c:pt>
                <c:pt idx="2">
                  <c:v>2017-2018</c:v>
                </c:pt>
                <c:pt idx="3">
                  <c:v>2018-2019</c:v>
                </c:pt>
              </c:strCache>
            </c:strRef>
          </c:cat>
          <c:val>
            <c:numRef>
              <c:f>' &amp; Analysis'!$J$19:$M$19</c:f>
              <c:numCache>
                <c:formatCode>0%</c:formatCode>
                <c:ptCount val="4"/>
                <c:pt idx="0">
                  <c:v>0.19298245614035087</c:v>
                </c:pt>
                <c:pt idx="1">
                  <c:v>0.15094339622641509</c:v>
                </c:pt>
                <c:pt idx="2">
                  <c:v>9.5238095238095233E-2</c:v>
                </c:pt>
                <c:pt idx="3">
                  <c:v>0.15</c:v>
                </c:pt>
              </c:numCache>
            </c:numRef>
          </c:val>
          <c:extLst>
            <c:ext xmlns:c16="http://schemas.microsoft.com/office/drawing/2014/chart" uri="{C3380CC4-5D6E-409C-BE32-E72D297353CC}">
              <c16:uniqueId val="{00000002-9067-4157-8EE5-5619FCF8F5AF}"/>
            </c:ext>
          </c:extLst>
        </c:ser>
        <c:ser>
          <c:idx val="2"/>
          <c:order val="3"/>
          <c:tx>
            <c:strRef>
              <c:f>' &amp; Analysis'!$A$20</c:f>
              <c:strCache>
                <c:ptCount val="1"/>
                <c:pt idx="0">
                  <c:v>3-5</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Analysis'!$C$16:$F$16</c:f>
              <c:strCache>
                <c:ptCount val="4"/>
                <c:pt idx="0">
                  <c:v>2015-2016</c:v>
                </c:pt>
                <c:pt idx="1">
                  <c:v>2016-2017</c:v>
                </c:pt>
                <c:pt idx="2">
                  <c:v>2017-2018</c:v>
                </c:pt>
                <c:pt idx="3">
                  <c:v>2018-2019</c:v>
                </c:pt>
              </c:strCache>
            </c:strRef>
          </c:cat>
          <c:val>
            <c:numRef>
              <c:f>' &amp; Analysis'!$J$20:$M$20</c:f>
              <c:numCache>
                <c:formatCode>0%</c:formatCode>
                <c:ptCount val="4"/>
                <c:pt idx="0">
                  <c:v>0.10526315789473684</c:v>
                </c:pt>
                <c:pt idx="1">
                  <c:v>0.20754716981132076</c:v>
                </c:pt>
                <c:pt idx="2">
                  <c:v>0.21428571428571427</c:v>
                </c:pt>
                <c:pt idx="3">
                  <c:v>0.2</c:v>
                </c:pt>
              </c:numCache>
            </c:numRef>
          </c:val>
          <c:extLst>
            <c:ext xmlns:c16="http://schemas.microsoft.com/office/drawing/2014/chart" uri="{C3380CC4-5D6E-409C-BE32-E72D297353CC}">
              <c16:uniqueId val="{00000003-9067-4157-8EE5-5619FCF8F5AF}"/>
            </c:ext>
          </c:extLst>
        </c:ser>
        <c:dLbls>
          <c:showLegendKey val="0"/>
          <c:showVal val="1"/>
          <c:showCatName val="0"/>
          <c:showSerName val="0"/>
          <c:showPercent val="0"/>
          <c:showBubbleSize val="0"/>
        </c:dLbls>
        <c:gapWidth val="6"/>
        <c:overlap val="100"/>
        <c:axId val="499025488"/>
        <c:axId val="499027128"/>
        <c:extLst>
          <c:ext xmlns:c15="http://schemas.microsoft.com/office/drawing/2012/chart" uri="{02D57815-91ED-43cb-92C2-25804820EDAC}">
            <c15:filteredBarSeries>
              <c15:ser>
                <c:idx val="3"/>
                <c:order val="4"/>
                <c:tx>
                  <c:strRef>
                    <c:extLst>
                      <c:ext uri="{02D57815-91ED-43cb-92C2-25804820EDAC}">
                        <c15:formulaRef>
                          <c15:sqref>' &amp; Analysis'!$A$21</c15:sqref>
                        </c15:formulaRef>
                      </c:ext>
                    </c:extLst>
                    <c:strCache>
                      <c:ptCount val="1"/>
                      <c:pt idx="0">
                        <c:v>4-5</c:v>
                      </c:pt>
                    </c:strCache>
                  </c:strRef>
                </c:tx>
                <c:spPr>
                  <a:solidFill>
                    <a:schemeClr val="accent4"/>
                  </a:solidFill>
                  <a:ln>
                    <a:noFill/>
                  </a:ln>
                  <a:effectLst/>
                </c:spPr>
                <c:invertIfNegative val="0"/>
                <c:dLbls>
                  <c:dLbl>
                    <c:idx val="2"/>
                    <c:delete val="1"/>
                    <c:extLst>
                      <c:ext uri="{CE6537A1-D6FC-4f65-9D91-7224C49458BB}"/>
                      <c:ext xmlns:c16="http://schemas.microsoft.com/office/drawing/2014/chart" uri="{C3380CC4-5D6E-409C-BE32-E72D297353CC}">
                        <c16:uniqueId val="{00000004-9067-4157-8EE5-5619FCF8F5AF}"/>
                      </c:ext>
                    </c:extLst>
                  </c:dLbl>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 &amp; Analysis'!$C$16:$F$16</c15:sqref>
                        </c15:formulaRef>
                      </c:ext>
                    </c:extLst>
                    <c:strCache>
                      <c:ptCount val="4"/>
                      <c:pt idx="0">
                        <c:v>2015-2016</c:v>
                      </c:pt>
                      <c:pt idx="1">
                        <c:v>2016-2017</c:v>
                      </c:pt>
                      <c:pt idx="2">
                        <c:v>2017-2018</c:v>
                      </c:pt>
                      <c:pt idx="3">
                        <c:v>2018-2019</c:v>
                      </c:pt>
                    </c:strCache>
                  </c:strRef>
                </c:cat>
                <c:val>
                  <c:numRef>
                    <c:extLst>
                      <c:ext uri="{02D57815-91ED-43cb-92C2-25804820EDAC}">
                        <c15:formulaRef>
                          <c15:sqref>' &amp; Analysis'!$J$21:$M$21</c15:sqref>
                        </c15:formulaRef>
                      </c:ext>
                    </c:extLst>
                    <c:numCache>
                      <c:formatCode>0%</c:formatCode>
                      <c:ptCount val="4"/>
                      <c:pt idx="0">
                        <c:v>3.5087719298245612E-2</c:v>
                      </c:pt>
                      <c:pt idx="1">
                        <c:v>5.6603773584905662E-2</c:v>
                      </c:pt>
                      <c:pt idx="2">
                        <c:v>0</c:v>
                      </c:pt>
                      <c:pt idx="3">
                        <c:v>7.4999999999999997E-2</c:v>
                      </c:pt>
                    </c:numCache>
                  </c:numRef>
                </c:val>
                <c:extLst>
                  <c:ext xmlns:c16="http://schemas.microsoft.com/office/drawing/2014/chart" uri="{C3380CC4-5D6E-409C-BE32-E72D297353CC}">
                    <c16:uniqueId val="{00000005-9067-4157-8EE5-5619FCF8F5AF}"/>
                  </c:ext>
                </c:extLst>
              </c15:ser>
            </c15:filteredBarSeries>
          </c:ext>
        </c:extLst>
      </c:barChart>
      <c:catAx>
        <c:axId val="499025488"/>
        <c:scaling>
          <c:orientation val="minMax"/>
        </c:scaling>
        <c:delete val="0"/>
        <c:axPos val="b"/>
        <c:title>
          <c:tx>
            <c:rich>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crossAx val="499027128"/>
        <c:crosses val="autoZero"/>
        <c:auto val="1"/>
        <c:lblAlgn val="ctr"/>
        <c:lblOffset val="100"/>
        <c:noMultiLvlLbl val="0"/>
      </c:catAx>
      <c:valAx>
        <c:axId val="4990271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r>
                  <a:rPr lang="en-US"/>
                  <a:t>Percentage </a:t>
                </a:r>
              </a:p>
            </c:rich>
          </c:tx>
          <c:layout>
            <c:manualLayout>
              <c:xMode val="edge"/>
              <c:yMode val="edge"/>
              <c:x val="6.3846111977938241E-2"/>
              <c:y val="0.35152433711965536"/>
            </c:manualLayout>
          </c:layout>
          <c:overlay val="0"/>
          <c:spPr>
            <a:noFill/>
            <a:ln>
              <a:noFill/>
            </a:ln>
            <a:effectLst/>
          </c:spPr>
          <c:txPr>
            <a:bodyPr rot="-54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99025488"/>
        <c:crosses val="autoZero"/>
        <c:crossBetween val="between"/>
      </c:valAx>
      <c:spPr>
        <a:noFill/>
        <a:ln>
          <a:noFill/>
        </a:ln>
        <a:effectLst/>
      </c:spPr>
    </c:plotArea>
    <c:legend>
      <c:legendPos val="r"/>
      <c:layout>
        <c:manualLayout>
          <c:xMode val="edge"/>
          <c:yMode val="edge"/>
          <c:x val="0.79905919167511452"/>
          <c:y val="0.323332239720035"/>
          <c:w val="0.11687168733537938"/>
          <c:h val="0.39140505164127209"/>
        </c:manualLayout>
      </c:layout>
      <c:overlay val="0"/>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717256303446"/>
          <c:y val="0.10311804308043584"/>
          <c:w val="0.60526131499438063"/>
          <c:h val="0.71000520457330896"/>
        </c:manualLayout>
      </c:layout>
      <c:lineChart>
        <c:grouping val="standard"/>
        <c:varyColors val="0"/>
        <c:ser>
          <c:idx val="0"/>
          <c:order val="0"/>
          <c:tx>
            <c:strRef>
              <c:f>' &amp; Analysis'!$B$55</c:f>
              <c:strCache>
                <c:ptCount val="1"/>
                <c:pt idx="0">
                  <c:v>Health</c:v>
                </c:pt>
              </c:strCache>
            </c:strRef>
          </c:tx>
          <c:spPr>
            <a:ln w="28575" cap="rnd">
              <a:solidFill>
                <a:schemeClr val="accent1"/>
              </a:solidFill>
              <a:round/>
            </a:ln>
            <a:effectLst/>
          </c:spPr>
          <c:marker>
            <c:symbol val="none"/>
          </c:marker>
          <c:dLbls>
            <c:dLbl>
              <c:idx val="3"/>
              <c:layout>
                <c:manualLayout>
                  <c:x val="-2.0656383350752268E-2"/>
                  <c:y val="-2.9642302565582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E4-46DE-B1D4-A6CB562D42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Analysis'!$C$54:$F$54</c:f>
              <c:strCache>
                <c:ptCount val="4"/>
                <c:pt idx="0">
                  <c:v>2015-2016</c:v>
                </c:pt>
                <c:pt idx="1">
                  <c:v>2016-2017</c:v>
                </c:pt>
                <c:pt idx="2">
                  <c:v>2017-2018</c:v>
                </c:pt>
                <c:pt idx="3">
                  <c:v>2018-2019</c:v>
                </c:pt>
              </c:strCache>
            </c:strRef>
          </c:cat>
          <c:val>
            <c:numRef>
              <c:f>' &amp; Analysis'!$C$55:$F$55</c:f>
              <c:numCache>
                <c:formatCode>General</c:formatCode>
                <c:ptCount val="4"/>
                <c:pt idx="0">
                  <c:v>30</c:v>
                </c:pt>
                <c:pt idx="1">
                  <c:v>25</c:v>
                </c:pt>
                <c:pt idx="2">
                  <c:v>21</c:v>
                </c:pt>
                <c:pt idx="3">
                  <c:v>11</c:v>
                </c:pt>
              </c:numCache>
            </c:numRef>
          </c:val>
          <c:smooth val="0"/>
          <c:extLst>
            <c:ext xmlns:c16="http://schemas.microsoft.com/office/drawing/2014/chart" uri="{C3380CC4-5D6E-409C-BE32-E72D297353CC}">
              <c16:uniqueId val="{00000001-A5E4-46DE-B1D4-A6CB562D429A}"/>
            </c:ext>
          </c:extLst>
        </c:ser>
        <c:ser>
          <c:idx val="1"/>
          <c:order val="1"/>
          <c:tx>
            <c:strRef>
              <c:f>' &amp; Analysis'!$B$56</c:f>
              <c:strCache>
                <c:ptCount val="1"/>
                <c:pt idx="0">
                  <c:v>ISEY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Analysis'!$C$54:$F$54</c:f>
              <c:strCache>
                <c:ptCount val="4"/>
                <c:pt idx="0">
                  <c:v>2015-2016</c:v>
                </c:pt>
                <c:pt idx="1">
                  <c:v>2016-2017</c:v>
                </c:pt>
                <c:pt idx="2">
                  <c:v>2017-2018</c:v>
                </c:pt>
                <c:pt idx="3">
                  <c:v>2018-2019</c:v>
                </c:pt>
              </c:strCache>
            </c:strRef>
          </c:cat>
          <c:val>
            <c:numRef>
              <c:f>' &amp; Analysis'!$C$56:$F$56</c:f>
              <c:numCache>
                <c:formatCode>General</c:formatCode>
                <c:ptCount val="4"/>
                <c:pt idx="0">
                  <c:v>12</c:v>
                </c:pt>
                <c:pt idx="1">
                  <c:v>14</c:v>
                </c:pt>
                <c:pt idx="2">
                  <c:v>12</c:v>
                </c:pt>
                <c:pt idx="3">
                  <c:v>15</c:v>
                </c:pt>
              </c:numCache>
            </c:numRef>
          </c:val>
          <c:smooth val="0"/>
          <c:extLst>
            <c:ext xmlns:c16="http://schemas.microsoft.com/office/drawing/2014/chart" uri="{C3380CC4-5D6E-409C-BE32-E72D297353CC}">
              <c16:uniqueId val="{00000002-A5E4-46DE-B1D4-A6CB562D429A}"/>
            </c:ext>
          </c:extLst>
        </c:ser>
        <c:ser>
          <c:idx val="2"/>
          <c:order val="2"/>
          <c:tx>
            <c:strRef>
              <c:f>' &amp; Analysis'!$B$57</c:f>
              <c:strCache>
                <c:ptCount val="1"/>
                <c:pt idx="0">
                  <c:v>Inclusion Support</c:v>
                </c:pt>
              </c:strCache>
            </c:strRef>
          </c:tx>
          <c:spPr>
            <a:ln w="28575" cap="rnd">
              <a:solidFill>
                <a:schemeClr val="accent3"/>
              </a:solidFill>
              <a:round/>
            </a:ln>
            <a:effectLst/>
          </c:spPr>
          <c:marker>
            <c:symbol val="none"/>
          </c:marker>
          <c:cat>
            <c:strRef>
              <c:f>' &amp; Analysis'!$C$54:$F$54</c:f>
              <c:strCache>
                <c:ptCount val="4"/>
                <c:pt idx="0">
                  <c:v>2015-2016</c:v>
                </c:pt>
                <c:pt idx="1">
                  <c:v>2016-2017</c:v>
                </c:pt>
                <c:pt idx="2">
                  <c:v>2017-2018</c:v>
                </c:pt>
                <c:pt idx="3">
                  <c:v>2018-2019</c:v>
                </c:pt>
              </c:strCache>
            </c:strRef>
          </c:cat>
          <c:val>
            <c:numRef>
              <c:f>' &amp; Analysis'!$C$57:$F$57</c:f>
              <c:numCache>
                <c:formatCode>General</c:formatCode>
                <c:ptCount val="4"/>
                <c:pt idx="0">
                  <c:v>1</c:v>
                </c:pt>
                <c:pt idx="1">
                  <c:v>0</c:v>
                </c:pt>
                <c:pt idx="2">
                  <c:v>0</c:v>
                </c:pt>
                <c:pt idx="3">
                  <c:v>0</c:v>
                </c:pt>
              </c:numCache>
            </c:numRef>
          </c:val>
          <c:smooth val="0"/>
          <c:extLst>
            <c:ext xmlns:c16="http://schemas.microsoft.com/office/drawing/2014/chart" uri="{C3380CC4-5D6E-409C-BE32-E72D297353CC}">
              <c16:uniqueId val="{00000003-A5E4-46DE-B1D4-A6CB562D429A}"/>
            </c:ext>
          </c:extLst>
        </c:ser>
        <c:ser>
          <c:idx val="3"/>
          <c:order val="3"/>
          <c:tx>
            <c:strRef>
              <c:f>' &amp; Analysis'!$B$58</c:f>
              <c:strCache>
                <c:ptCount val="1"/>
                <c:pt idx="0">
                  <c:v>Other LA SST's</c:v>
                </c:pt>
              </c:strCache>
            </c:strRef>
          </c:tx>
          <c:spPr>
            <a:ln w="28575" cap="rnd">
              <a:solidFill>
                <a:schemeClr val="accent4"/>
              </a:solidFill>
              <a:round/>
            </a:ln>
            <a:effectLst/>
          </c:spPr>
          <c:marker>
            <c:symbol val="none"/>
          </c:marker>
          <c:cat>
            <c:strRef>
              <c:f>' &amp; Analysis'!$C$54:$F$54</c:f>
              <c:strCache>
                <c:ptCount val="4"/>
                <c:pt idx="0">
                  <c:v>2015-2016</c:v>
                </c:pt>
                <c:pt idx="1">
                  <c:v>2016-2017</c:v>
                </c:pt>
                <c:pt idx="2">
                  <c:v>2017-2018</c:v>
                </c:pt>
                <c:pt idx="3">
                  <c:v>2018-2019</c:v>
                </c:pt>
              </c:strCache>
            </c:strRef>
          </c:cat>
          <c:val>
            <c:numRef>
              <c:f>' &amp; Analysis'!$C$58:$F$58</c:f>
              <c:numCache>
                <c:formatCode>General</c:formatCode>
                <c:ptCount val="4"/>
                <c:pt idx="0">
                  <c:v>0</c:v>
                </c:pt>
                <c:pt idx="1">
                  <c:v>3</c:v>
                </c:pt>
                <c:pt idx="2">
                  <c:v>0</c:v>
                </c:pt>
                <c:pt idx="3">
                  <c:v>1</c:v>
                </c:pt>
              </c:numCache>
            </c:numRef>
          </c:val>
          <c:smooth val="0"/>
          <c:extLst>
            <c:ext xmlns:c16="http://schemas.microsoft.com/office/drawing/2014/chart" uri="{C3380CC4-5D6E-409C-BE32-E72D297353CC}">
              <c16:uniqueId val="{00000004-A5E4-46DE-B1D4-A6CB562D429A}"/>
            </c:ext>
          </c:extLst>
        </c:ser>
        <c:ser>
          <c:idx val="4"/>
          <c:order val="4"/>
          <c:tx>
            <c:strRef>
              <c:f>' &amp; Analysis'!$B$59</c:f>
              <c:strCache>
                <c:ptCount val="1"/>
                <c:pt idx="0">
                  <c:v>Parent</c:v>
                </c:pt>
              </c:strCache>
            </c:strRef>
          </c:tx>
          <c:spPr>
            <a:ln w="28575" cap="rnd">
              <a:solidFill>
                <a:schemeClr val="accent5"/>
              </a:solidFill>
              <a:round/>
            </a:ln>
            <a:effectLst/>
          </c:spPr>
          <c:marker>
            <c:symbol val="none"/>
          </c:marker>
          <c:cat>
            <c:strRef>
              <c:f>' &amp; Analysis'!$C$54:$F$54</c:f>
              <c:strCache>
                <c:ptCount val="4"/>
                <c:pt idx="0">
                  <c:v>2015-2016</c:v>
                </c:pt>
                <c:pt idx="1">
                  <c:v>2016-2017</c:v>
                </c:pt>
                <c:pt idx="2">
                  <c:v>2017-2018</c:v>
                </c:pt>
                <c:pt idx="3">
                  <c:v>2018-2019</c:v>
                </c:pt>
              </c:strCache>
            </c:strRef>
          </c:cat>
          <c:val>
            <c:numRef>
              <c:f>' &amp; Analysis'!$C$59:$F$59</c:f>
              <c:numCache>
                <c:formatCode>General</c:formatCode>
                <c:ptCount val="4"/>
                <c:pt idx="0">
                  <c:v>4</c:v>
                </c:pt>
                <c:pt idx="1">
                  <c:v>3</c:v>
                </c:pt>
                <c:pt idx="2">
                  <c:v>3</c:v>
                </c:pt>
                <c:pt idx="3">
                  <c:v>3</c:v>
                </c:pt>
              </c:numCache>
            </c:numRef>
          </c:val>
          <c:smooth val="0"/>
          <c:extLst>
            <c:ext xmlns:c16="http://schemas.microsoft.com/office/drawing/2014/chart" uri="{C3380CC4-5D6E-409C-BE32-E72D297353CC}">
              <c16:uniqueId val="{00000005-A5E4-46DE-B1D4-A6CB562D429A}"/>
            </c:ext>
          </c:extLst>
        </c:ser>
        <c:ser>
          <c:idx val="5"/>
          <c:order val="5"/>
          <c:tx>
            <c:strRef>
              <c:f>' &amp; Analysis'!$B$60</c:f>
              <c:strCache>
                <c:ptCount val="1"/>
                <c:pt idx="0">
                  <c:v>School</c:v>
                </c:pt>
              </c:strCache>
            </c:strRef>
          </c:tx>
          <c:spPr>
            <a:ln w="28575" cap="rnd">
              <a:solidFill>
                <a:schemeClr val="accent6"/>
              </a:solidFill>
              <a:round/>
            </a:ln>
            <a:effectLst/>
          </c:spPr>
          <c:marker>
            <c:symbol val="none"/>
          </c:marker>
          <c:cat>
            <c:strRef>
              <c:f>' &amp; Analysis'!$C$54:$F$54</c:f>
              <c:strCache>
                <c:ptCount val="4"/>
                <c:pt idx="0">
                  <c:v>2015-2016</c:v>
                </c:pt>
                <c:pt idx="1">
                  <c:v>2016-2017</c:v>
                </c:pt>
                <c:pt idx="2">
                  <c:v>2017-2018</c:v>
                </c:pt>
                <c:pt idx="3">
                  <c:v>2018-2019</c:v>
                </c:pt>
              </c:strCache>
            </c:strRef>
          </c:cat>
          <c:val>
            <c:numRef>
              <c:f>' &amp; Analysis'!$C$60:$F$60</c:f>
              <c:numCache>
                <c:formatCode>General</c:formatCode>
                <c:ptCount val="4"/>
                <c:pt idx="0">
                  <c:v>3</c:v>
                </c:pt>
                <c:pt idx="1">
                  <c:v>3</c:v>
                </c:pt>
                <c:pt idx="2">
                  <c:v>3</c:v>
                </c:pt>
                <c:pt idx="3">
                  <c:v>4</c:v>
                </c:pt>
              </c:numCache>
            </c:numRef>
          </c:val>
          <c:smooth val="0"/>
          <c:extLst>
            <c:ext xmlns:c16="http://schemas.microsoft.com/office/drawing/2014/chart" uri="{C3380CC4-5D6E-409C-BE32-E72D297353CC}">
              <c16:uniqueId val="{00000006-A5E4-46DE-B1D4-A6CB562D429A}"/>
            </c:ext>
          </c:extLst>
        </c:ser>
        <c:ser>
          <c:idx val="6"/>
          <c:order val="6"/>
          <c:tx>
            <c:strRef>
              <c:f>' &amp; Analysis'!$B$61</c:f>
              <c:strCache>
                <c:ptCount val="1"/>
                <c:pt idx="0">
                  <c:v>Other</c:v>
                </c:pt>
              </c:strCache>
            </c:strRef>
          </c:tx>
          <c:spPr>
            <a:ln w="28575" cap="rnd">
              <a:solidFill>
                <a:schemeClr val="accent1">
                  <a:lumMod val="60000"/>
                </a:schemeClr>
              </a:solidFill>
              <a:round/>
            </a:ln>
            <a:effectLst/>
          </c:spPr>
          <c:marker>
            <c:symbol val="none"/>
          </c:marker>
          <c:cat>
            <c:strRef>
              <c:f>' &amp; Analysis'!$C$54:$F$54</c:f>
              <c:strCache>
                <c:ptCount val="4"/>
                <c:pt idx="0">
                  <c:v>2015-2016</c:v>
                </c:pt>
                <c:pt idx="1">
                  <c:v>2016-2017</c:v>
                </c:pt>
                <c:pt idx="2">
                  <c:v>2017-2018</c:v>
                </c:pt>
                <c:pt idx="3">
                  <c:v>2018-2019</c:v>
                </c:pt>
              </c:strCache>
            </c:strRef>
          </c:cat>
          <c:val>
            <c:numRef>
              <c:f>' &amp; Analysis'!$C$61:$F$61</c:f>
              <c:numCache>
                <c:formatCode>General</c:formatCode>
                <c:ptCount val="4"/>
                <c:pt idx="0">
                  <c:v>5</c:v>
                </c:pt>
                <c:pt idx="1">
                  <c:v>3</c:v>
                </c:pt>
                <c:pt idx="2">
                  <c:v>3</c:v>
                </c:pt>
                <c:pt idx="3">
                  <c:v>3</c:v>
                </c:pt>
              </c:numCache>
            </c:numRef>
          </c:val>
          <c:smooth val="0"/>
          <c:extLst>
            <c:ext xmlns:c16="http://schemas.microsoft.com/office/drawing/2014/chart" uri="{C3380CC4-5D6E-409C-BE32-E72D297353CC}">
              <c16:uniqueId val="{00000007-A5E4-46DE-B1D4-A6CB562D429A}"/>
            </c:ext>
          </c:extLst>
        </c:ser>
        <c:dLbls>
          <c:showLegendKey val="0"/>
          <c:showVal val="0"/>
          <c:showCatName val="0"/>
          <c:showSerName val="0"/>
          <c:showPercent val="0"/>
          <c:showBubbleSize val="0"/>
        </c:dLbls>
        <c:smooth val="0"/>
        <c:axId val="595222744"/>
        <c:axId val="595220448"/>
      </c:lineChart>
      <c:catAx>
        <c:axId val="595222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37354446361279497"/>
              <c:y val="0.88334738008495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220448"/>
        <c:crosses val="autoZero"/>
        <c:auto val="1"/>
        <c:lblAlgn val="ctr"/>
        <c:lblOffset val="100"/>
        <c:noMultiLvlLbl val="0"/>
      </c:catAx>
      <c:valAx>
        <c:axId val="59522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222744"/>
        <c:crosses val="autoZero"/>
        <c:crossBetween val="between"/>
      </c:valAx>
      <c:spPr>
        <a:noFill/>
        <a:ln>
          <a:noFill/>
        </a:ln>
        <a:effectLst/>
      </c:spPr>
    </c:plotArea>
    <c:legend>
      <c:legendPos val="b"/>
      <c:layout>
        <c:manualLayout>
          <c:xMode val="edge"/>
          <c:yMode val="edge"/>
          <c:x val="0.72376553042742631"/>
          <c:y val="0.16279044066860063"/>
          <c:w val="0.20902709327498342"/>
          <c:h val="0.53950758179519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53174404154892E-2"/>
          <c:y val="0.13090960433480117"/>
          <c:w val="0.88244587755996862"/>
          <c:h val="0.68612347962741649"/>
        </c:manualLayout>
      </c:layout>
      <c:lineChart>
        <c:grouping val="stacked"/>
        <c:varyColors val="0"/>
        <c:ser>
          <c:idx val="2"/>
          <c:order val="0"/>
          <c:tx>
            <c:strRef>
              <c:f>' &amp; Analysis'!$A$74</c:f>
              <c:strCache>
                <c:ptCount val="1"/>
                <c:pt idx="0">
                  <c:v>Total </c:v>
                </c:pt>
              </c:strCache>
            </c:strRef>
          </c:tx>
          <c:spPr>
            <a:ln w="28575" cap="rnd">
              <a:solidFill>
                <a:srgbClr val="00B050"/>
              </a:solidFill>
              <a:round/>
            </a:ln>
            <a:effectLst/>
          </c:spPr>
          <c:marker>
            <c:symbol val="square"/>
            <c:size val="5"/>
            <c:spPr>
              <a:solidFill>
                <a:schemeClr val="accent3"/>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Analysis'!$B$69:$F$69</c:f>
              <c:strCache>
                <c:ptCount val="5"/>
                <c:pt idx="0">
                  <c:v>2014-2015</c:v>
                </c:pt>
                <c:pt idx="1">
                  <c:v>2015-2016</c:v>
                </c:pt>
                <c:pt idx="2">
                  <c:v>2016-2017</c:v>
                </c:pt>
                <c:pt idx="3">
                  <c:v>2017-2018</c:v>
                </c:pt>
                <c:pt idx="4">
                  <c:v>2018-2019</c:v>
                </c:pt>
              </c:strCache>
            </c:strRef>
          </c:cat>
          <c:val>
            <c:numRef>
              <c:f>' &amp; Analysis'!$B$74:$F$74</c:f>
              <c:numCache>
                <c:formatCode>General</c:formatCode>
                <c:ptCount val="5"/>
                <c:pt idx="0">
                  <c:v>38</c:v>
                </c:pt>
                <c:pt idx="1">
                  <c:v>48</c:v>
                </c:pt>
                <c:pt idx="2">
                  <c:v>51</c:v>
                </c:pt>
                <c:pt idx="3">
                  <c:v>58</c:v>
                </c:pt>
                <c:pt idx="4">
                  <c:v>55</c:v>
                </c:pt>
              </c:numCache>
            </c:numRef>
          </c:val>
          <c:smooth val="0"/>
          <c:extLst>
            <c:ext xmlns:c16="http://schemas.microsoft.com/office/drawing/2014/chart" uri="{C3380CC4-5D6E-409C-BE32-E72D297353CC}">
              <c16:uniqueId val="{00000000-05C3-4604-A3A8-86BF095A847C}"/>
            </c:ext>
          </c:extLst>
        </c:ser>
        <c:dLbls>
          <c:showLegendKey val="0"/>
          <c:showVal val="0"/>
          <c:showCatName val="0"/>
          <c:showSerName val="0"/>
          <c:showPercent val="0"/>
          <c:showBubbleSize val="0"/>
        </c:dLbls>
        <c:marker val="1"/>
        <c:smooth val="0"/>
        <c:axId val="633067872"/>
        <c:axId val="633068528"/>
      </c:lineChart>
      <c:catAx>
        <c:axId val="6330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68528"/>
        <c:crosses val="autoZero"/>
        <c:auto val="1"/>
        <c:lblAlgn val="ctr"/>
        <c:lblOffset val="100"/>
        <c:noMultiLvlLbl val="0"/>
      </c:catAx>
      <c:valAx>
        <c:axId val="633068528"/>
        <c:scaling>
          <c:orientation val="minMax"/>
          <c:max val="100"/>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6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0BB-46DA-A633-09391083ABD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0BB-46DA-A633-09391083ABD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0BB-46DA-A633-09391083ABD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0BB-46DA-A633-09391083ABD9}"/>
              </c:ext>
            </c:extLst>
          </c:dPt>
          <c:dPt>
            <c:idx val="4"/>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0BB-46DA-A633-09391083ABD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Sheet3!$C$57:$G$57</c:f>
              <c:strCache>
                <c:ptCount val="5"/>
                <c:pt idx="0">
                  <c:v>EU</c:v>
                </c:pt>
                <c:pt idx="1">
                  <c:v>Rest of Europe (non EU)</c:v>
                </c:pt>
                <c:pt idx="2">
                  <c:v>Middle East and Asia</c:v>
                </c:pt>
                <c:pt idx="3">
                  <c:v>Africa</c:v>
                </c:pt>
                <c:pt idx="4">
                  <c:v>Rest of World</c:v>
                </c:pt>
              </c:strCache>
            </c:strRef>
          </c:cat>
          <c:val>
            <c:numRef>
              <c:f>Sheet3!$C$58:$G$58</c:f>
              <c:numCache>
                <c:formatCode>#,##0</c:formatCode>
                <c:ptCount val="5"/>
                <c:pt idx="0">
                  <c:v>437</c:v>
                </c:pt>
                <c:pt idx="1">
                  <c:v>27</c:v>
                </c:pt>
                <c:pt idx="2">
                  <c:v>868</c:v>
                </c:pt>
                <c:pt idx="3">
                  <c:v>270</c:v>
                </c:pt>
                <c:pt idx="4">
                  <c:v>88</c:v>
                </c:pt>
              </c:numCache>
            </c:numRef>
          </c:val>
          <c:extLst>
            <c:ext xmlns:c16="http://schemas.microsoft.com/office/drawing/2014/chart" uri="{C3380CC4-5D6E-409C-BE32-E72D297353CC}">
              <c16:uniqueId val="{0000000A-60BB-46DA-A633-09391083ABD9}"/>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layout>
        <c:manualLayout>
          <c:xMode val="edge"/>
          <c:yMode val="edge"/>
          <c:x val="4.851233595800295E-4"/>
          <c:y val="0.2714820845694571"/>
          <c:w val="0.18538491247152664"/>
          <c:h val="0.460114310035569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9019968995104"/>
          <c:y val="0.16457715512833621"/>
          <c:w val="0.66788304608777049"/>
          <c:h val="0.58455090840917612"/>
        </c:manualLayout>
      </c:layout>
      <c:barChart>
        <c:barDir val="col"/>
        <c:grouping val="clustered"/>
        <c:varyColors val="0"/>
        <c:ser>
          <c:idx val="1"/>
          <c:order val="0"/>
          <c:tx>
            <c:strRef>
              <c:f>' &amp; Analysis'!$A$72</c:f>
              <c:strCache>
                <c:ptCount val="1"/>
                <c:pt idx="0">
                  <c:v>Boys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Analysis'!$B$69:$F$69</c:f>
              <c:strCache>
                <c:ptCount val="5"/>
                <c:pt idx="0">
                  <c:v>2014-2015</c:v>
                </c:pt>
                <c:pt idx="1">
                  <c:v>2015-2016</c:v>
                </c:pt>
                <c:pt idx="2">
                  <c:v>2016-2017</c:v>
                </c:pt>
                <c:pt idx="3">
                  <c:v>2017-2018</c:v>
                </c:pt>
                <c:pt idx="4">
                  <c:v>2018-2019</c:v>
                </c:pt>
              </c:strCache>
            </c:strRef>
          </c:cat>
          <c:val>
            <c:numRef>
              <c:f>' &amp; Analysis'!$B$72:$F$72</c:f>
              <c:numCache>
                <c:formatCode>General</c:formatCode>
                <c:ptCount val="5"/>
                <c:pt idx="0">
                  <c:v>21</c:v>
                </c:pt>
                <c:pt idx="1">
                  <c:v>24</c:v>
                </c:pt>
                <c:pt idx="2">
                  <c:v>30</c:v>
                </c:pt>
                <c:pt idx="3">
                  <c:v>36</c:v>
                </c:pt>
                <c:pt idx="4">
                  <c:v>35</c:v>
                </c:pt>
              </c:numCache>
            </c:numRef>
          </c:val>
          <c:extLst>
            <c:ext xmlns:c16="http://schemas.microsoft.com/office/drawing/2014/chart" uri="{C3380CC4-5D6E-409C-BE32-E72D297353CC}">
              <c16:uniqueId val="{00000000-2398-4B13-BEE2-F186CC88F5F0}"/>
            </c:ext>
          </c:extLst>
        </c:ser>
        <c:ser>
          <c:idx val="0"/>
          <c:order val="1"/>
          <c:tx>
            <c:strRef>
              <c:f>' &amp; Analysis'!$A$73</c:f>
              <c:strCache>
                <c:ptCount val="1"/>
                <c:pt idx="0">
                  <c:v>Girls</c:v>
                </c:pt>
              </c:strCache>
            </c:strRef>
          </c:tx>
          <c:spPr>
            <a:solidFill>
              <a:srgbClr val="FF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Analysis'!$B$69:$F$69</c:f>
              <c:strCache>
                <c:ptCount val="5"/>
                <c:pt idx="0">
                  <c:v>2014-2015</c:v>
                </c:pt>
                <c:pt idx="1">
                  <c:v>2015-2016</c:v>
                </c:pt>
                <c:pt idx="2">
                  <c:v>2016-2017</c:v>
                </c:pt>
                <c:pt idx="3">
                  <c:v>2017-2018</c:v>
                </c:pt>
                <c:pt idx="4">
                  <c:v>2018-2019</c:v>
                </c:pt>
              </c:strCache>
            </c:strRef>
          </c:cat>
          <c:val>
            <c:numRef>
              <c:f>' &amp; Analysis'!$B$73:$F$73</c:f>
              <c:numCache>
                <c:formatCode>General</c:formatCode>
                <c:ptCount val="5"/>
                <c:pt idx="0">
                  <c:v>17</c:v>
                </c:pt>
                <c:pt idx="1">
                  <c:v>24</c:v>
                </c:pt>
                <c:pt idx="2">
                  <c:v>21</c:v>
                </c:pt>
                <c:pt idx="3">
                  <c:v>22</c:v>
                </c:pt>
                <c:pt idx="4">
                  <c:v>20</c:v>
                </c:pt>
              </c:numCache>
            </c:numRef>
          </c:val>
          <c:extLst>
            <c:ext xmlns:c16="http://schemas.microsoft.com/office/drawing/2014/chart" uri="{C3380CC4-5D6E-409C-BE32-E72D297353CC}">
              <c16:uniqueId val="{00000001-2398-4B13-BEE2-F186CC88F5F0}"/>
            </c:ext>
          </c:extLst>
        </c:ser>
        <c:dLbls>
          <c:showLegendKey val="0"/>
          <c:showVal val="0"/>
          <c:showCatName val="0"/>
          <c:showSerName val="0"/>
          <c:showPercent val="0"/>
          <c:showBubbleSize val="0"/>
        </c:dLbls>
        <c:gapWidth val="150"/>
        <c:axId val="731513400"/>
        <c:axId val="731515368"/>
      </c:barChart>
      <c:lineChart>
        <c:grouping val="standard"/>
        <c:varyColors val="0"/>
        <c:ser>
          <c:idx val="2"/>
          <c:order val="2"/>
          <c:tx>
            <c:strRef>
              <c:f>' &amp; Analysis'!$A$75</c:f>
              <c:strCache>
                <c:ptCount val="1"/>
                <c:pt idx="0">
                  <c:v>Boys</c:v>
                </c:pt>
              </c:strCache>
            </c:strRef>
          </c:tx>
          <c:spPr>
            <a:ln w="28575" cap="rnd">
              <a:solidFill>
                <a:srgbClr val="00B0F0"/>
              </a:solidFill>
              <a:round/>
            </a:ln>
            <a:effectLst/>
          </c:spPr>
          <c:marker>
            <c:symbol val="star"/>
            <c:size val="12"/>
            <c:spPr>
              <a:noFill/>
              <a:ln w="9525">
                <a:solidFill>
                  <a:srgbClr val="00B0F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analysis'!$A$6:$A$10</c:f>
              <c:strCache>
                <c:ptCount val="5"/>
                <c:pt idx="0">
                  <c:v>2014-15</c:v>
                </c:pt>
                <c:pt idx="1">
                  <c:v>2015-16</c:v>
                </c:pt>
                <c:pt idx="2">
                  <c:v>2016-17</c:v>
                </c:pt>
                <c:pt idx="3">
                  <c:v>2017-18</c:v>
                </c:pt>
                <c:pt idx="4">
                  <c:v>2018-19</c:v>
                </c:pt>
              </c:strCache>
            </c:strRef>
          </c:cat>
          <c:val>
            <c:numRef>
              <c:f>' &amp; Analysis'!$B$75:$F$75</c:f>
              <c:numCache>
                <c:formatCode>0%</c:formatCode>
                <c:ptCount val="5"/>
                <c:pt idx="0">
                  <c:v>0.55263157894736847</c:v>
                </c:pt>
                <c:pt idx="1">
                  <c:v>0.5</c:v>
                </c:pt>
                <c:pt idx="2">
                  <c:v>0.58823529411764708</c:v>
                </c:pt>
                <c:pt idx="3">
                  <c:v>0.62068965517241381</c:v>
                </c:pt>
                <c:pt idx="4">
                  <c:v>0.63636363636363635</c:v>
                </c:pt>
              </c:numCache>
            </c:numRef>
          </c:val>
          <c:smooth val="0"/>
          <c:extLst>
            <c:ext xmlns:c16="http://schemas.microsoft.com/office/drawing/2014/chart" uri="{C3380CC4-5D6E-409C-BE32-E72D297353CC}">
              <c16:uniqueId val="{00000002-2398-4B13-BEE2-F186CC88F5F0}"/>
            </c:ext>
          </c:extLst>
        </c:ser>
        <c:ser>
          <c:idx val="3"/>
          <c:order val="3"/>
          <c:tx>
            <c:strRef>
              <c:f>' &amp; Analysis'!$A$76</c:f>
              <c:strCache>
                <c:ptCount val="1"/>
                <c:pt idx="0">
                  <c:v>Girls</c:v>
                </c:pt>
              </c:strCache>
            </c:strRef>
          </c:tx>
          <c:spPr>
            <a:ln w="28575" cap="rnd">
              <a:solidFill>
                <a:srgbClr val="FF99CC"/>
              </a:solidFill>
              <a:round/>
            </a:ln>
            <a:effectLst/>
          </c:spPr>
          <c:marker>
            <c:symbol val="star"/>
            <c:size val="14"/>
            <c:spPr>
              <a:noFill/>
              <a:ln w="9525">
                <a:solidFill>
                  <a:srgbClr val="FF99CC"/>
                </a:solidFill>
              </a:ln>
              <a:effectLst/>
            </c:spPr>
          </c:marker>
          <c:dLbls>
            <c:dLbl>
              <c:idx val="2"/>
              <c:layout>
                <c:manualLayout>
                  <c:x val="-1.3053613053613054E-2"/>
                  <c:y val="-4.1379310344827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8-4B13-BEE2-F186CC88F5F0}"/>
                </c:ext>
              </c:extLst>
            </c:dLbl>
            <c:dLbl>
              <c:idx val="3"/>
              <c:layout>
                <c:manualLayout>
                  <c:x val="-9.324009324009324E-3"/>
                  <c:y val="-5.9770114942528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98-4B13-BEE2-F186CC88F5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 caseload analysis'!$A$6:$A$10</c:f>
              <c:strCache>
                <c:ptCount val="5"/>
                <c:pt idx="0">
                  <c:v>2014-15</c:v>
                </c:pt>
                <c:pt idx="1">
                  <c:v>2015-16</c:v>
                </c:pt>
                <c:pt idx="2">
                  <c:v>2016-17</c:v>
                </c:pt>
                <c:pt idx="3">
                  <c:v>2017-18</c:v>
                </c:pt>
                <c:pt idx="4">
                  <c:v>2018-19</c:v>
                </c:pt>
              </c:strCache>
            </c:strRef>
          </c:cat>
          <c:val>
            <c:numRef>
              <c:f>' &amp; Analysis'!$B$76:$F$76</c:f>
              <c:numCache>
                <c:formatCode>0%</c:formatCode>
                <c:ptCount val="5"/>
                <c:pt idx="0">
                  <c:v>0.44736842105263158</c:v>
                </c:pt>
                <c:pt idx="1">
                  <c:v>0.5</c:v>
                </c:pt>
                <c:pt idx="2">
                  <c:v>0.41176470588235292</c:v>
                </c:pt>
                <c:pt idx="3">
                  <c:v>0.37931034482758619</c:v>
                </c:pt>
                <c:pt idx="4">
                  <c:v>0.36363636363636365</c:v>
                </c:pt>
              </c:numCache>
            </c:numRef>
          </c:val>
          <c:smooth val="0"/>
          <c:extLst>
            <c:ext xmlns:c16="http://schemas.microsoft.com/office/drawing/2014/chart" uri="{C3380CC4-5D6E-409C-BE32-E72D297353CC}">
              <c16:uniqueId val="{00000005-2398-4B13-BEE2-F186CC88F5F0}"/>
            </c:ext>
          </c:extLst>
        </c:ser>
        <c:dLbls>
          <c:showLegendKey val="0"/>
          <c:showVal val="0"/>
          <c:showCatName val="0"/>
          <c:showSerName val="0"/>
          <c:showPercent val="0"/>
          <c:showBubbleSize val="0"/>
        </c:dLbls>
        <c:marker val="1"/>
        <c:smooth val="0"/>
        <c:axId val="708707520"/>
        <c:axId val="708706208"/>
      </c:lineChart>
      <c:catAx>
        <c:axId val="731513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515368"/>
        <c:crosses val="autoZero"/>
        <c:auto val="1"/>
        <c:lblAlgn val="ctr"/>
        <c:lblOffset val="100"/>
        <c:noMultiLvlLbl val="0"/>
      </c:catAx>
      <c:valAx>
        <c:axId val="731515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Number</a:t>
                </a:r>
                <a:r>
                  <a:rPr lang="en-GB" sz="1200" baseline="0"/>
                  <a:t> of children</a:t>
                </a:r>
                <a:endParaRPr lang="en-GB" sz="1200"/>
              </a:p>
            </c:rich>
          </c:tx>
          <c:layout>
            <c:manualLayout>
              <c:xMode val="edge"/>
              <c:yMode val="edge"/>
              <c:x val="4.5324246749858015E-2"/>
              <c:y val="0.2952752285274685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513400"/>
        <c:crosses val="autoZero"/>
        <c:crossBetween val="between"/>
      </c:valAx>
      <c:valAx>
        <c:axId val="7087062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boys and girls</a:t>
                </a:r>
              </a:p>
            </c:rich>
          </c:tx>
          <c:layout>
            <c:manualLayout>
              <c:xMode val="edge"/>
              <c:yMode val="edge"/>
              <c:x val="0.89691117557673716"/>
              <c:y val="0.267689021630916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707520"/>
        <c:crosses val="max"/>
        <c:crossBetween val="between"/>
      </c:valAx>
      <c:catAx>
        <c:axId val="708707520"/>
        <c:scaling>
          <c:orientation val="minMax"/>
        </c:scaling>
        <c:delete val="1"/>
        <c:axPos val="b"/>
        <c:numFmt formatCode="General" sourceLinked="1"/>
        <c:majorTickMark val="out"/>
        <c:minorTickMark val="none"/>
        <c:tickLblPos val="nextTo"/>
        <c:crossAx val="708706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4931043283455"/>
          <c:y val="0.14813872423250463"/>
          <c:w val="0.64125171328373864"/>
          <c:h val="0.64848801203220396"/>
        </c:manualLayout>
      </c:layout>
      <c:barChart>
        <c:barDir val="col"/>
        <c:grouping val="percentStacked"/>
        <c:varyColors val="0"/>
        <c:ser>
          <c:idx val="0"/>
          <c:order val="0"/>
          <c:tx>
            <c:strRef>
              <c:f>' &amp; Analysis'!$H$83</c:f>
              <c:strCache>
                <c:ptCount val="1"/>
                <c:pt idx="0">
                  <c:v>Under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Analysis'!$I$82:$M$82</c:f>
              <c:strCache>
                <c:ptCount val="4"/>
                <c:pt idx="0">
                  <c:v>2015-2016</c:v>
                </c:pt>
                <c:pt idx="1">
                  <c:v>2016-2017</c:v>
                </c:pt>
                <c:pt idx="2">
                  <c:v>2017-2018</c:v>
                </c:pt>
                <c:pt idx="3">
                  <c:v>2018-2019</c:v>
                </c:pt>
              </c:strCache>
            </c:strRef>
          </c:cat>
          <c:val>
            <c:numRef>
              <c:f>' &amp; Analysis'!$I$83:$M$83</c:f>
              <c:numCache>
                <c:formatCode>0%</c:formatCode>
                <c:ptCount val="4"/>
                <c:pt idx="0">
                  <c:v>0.54</c:v>
                </c:pt>
                <c:pt idx="1">
                  <c:v>0.25423728813559321</c:v>
                </c:pt>
                <c:pt idx="2">
                  <c:v>0.18055555555555555</c:v>
                </c:pt>
                <c:pt idx="3">
                  <c:v>0.13513513513513514</c:v>
                </c:pt>
              </c:numCache>
            </c:numRef>
          </c:val>
          <c:extLst>
            <c:ext xmlns:c16="http://schemas.microsoft.com/office/drawing/2014/chart" uri="{C3380CC4-5D6E-409C-BE32-E72D297353CC}">
              <c16:uniqueId val="{00000000-78BB-4DCC-8141-D1AC7CAE8211}"/>
            </c:ext>
          </c:extLst>
        </c:ser>
        <c:ser>
          <c:idx val="1"/>
          <c:order val="1"/>
          <c:tx>
            <c:strRef>
              <c:f>' &amp; Analysis'!$H$84</c:f>
              <c:strCache>
                <c:ptCount val="1"/>
                <c:pt idx="0">
                  <c:v>1-2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Analysis'!$I$82:$M$82</c:f>
              <c:strCache>
                <c:ptCount val="4"/>
                <c:pt idx="0">
                  <c:v>2015-2016</c:v>
                </c:pt>
                <c:pt idx="1">
                  <c:v>2016-2017</c:v>
                </c:pt>
                <c:pt idx="2">
                  <c:v>2017-2018</c:v>
                </c:pt>
                <c:pt idx="3">
                  <c:v>2018-2019</c:v>
                </c:pt>
              </c:strCache>
            </c:strRef>
          </c:cat>
          <c:val>
            <c:numRef>
              <c:f>' &amp; Analysis'!$I$84:$M$84</c:f>
              <c:numCache>
                <c:formatCode>0%</c:formatCode>
                <c:ptCount val="4"/>
                <c:pt idx="0">
                  <c:v>0.16</c:v>
                </c:pt>
                <c:pt idx="1">
                  <c:v>0.1864406779661017</c:v>
                </c:pt>
                <c:pt idx="2">
                  <c:v>0.125</c:v>
                </c:pt>
                <c:pt idx="3">
                  <c:v>0.10810810810810811</c:v>
                </c:pt>
              </c:numCache>
            </c:numRef>
          </c:val>
          <c:extLst>
            <c:ext xmlns:c16="http://schemas.microsoft.com/office/drawing/2014/chart" uri="{C3380CC4-5D6E-409C-BE32-E72D297353CC}">
              <c16:uniqueId val="{00000001-78BB-4DCC-8141-D1AC7CAE8211}"/>
            </c:ext>
          </c:extLst>
        </c:ser>
        <c:ser>
          <c:idx val="2"/>
          <c:order val="2"/>
          <c:tx>
            <c:strRef>
              <c:f>' &amp; Analysis'!$H$85</c:f>
              <c:strCache>
                <c:ptCount val="1"/>
                <c:pt idx="0">
                  <c:v>2-3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Analysis'!$I$82:$M$82</c:f>
              <c:strCache>
                <c:ptCount val="4"/>
                <c:pt idx="0">
                  <c:v>2015-2016</c:v>
                </c:pt>
                <c:pt idx="1">
                  <c:v>2016-2017</c:v>
                </c:pt>
                <c:pt idx="2">
                  <c:v>2017-2018</c:v>
                </c:pt>
                <c:pt idx="3">
                  <c:v>2018-2019</c:v>
                </c:pt>
              </c:strCache>
            </c:strRef>
          </c:cat>
          <c:val>
            <c:numRef>
              <c:f>' &amp; Analysis'!$I$85:$M$85</c:f>
              <c:numCache>
                <c:formatCode>0%</c:formatCode>
                <c:ptCount val="4"/>
                <c:pt idx="0">
                  <c:v>0.08</c:v>
                </c:pt>
                <c:pt idx="1">
                  <c:v>0.16949152542372881</c:v>
                </c:pt>
                <c:pt idx="2">
                  <c:v>0.125</c:v>
                </c:pt>
                <c:pt idx="3">
                  <c:v>0.12162162162162163</c:v>
                </c:pt>
              </c:numCache>
            </c:numRef>
          </c:val>
          <c:extLst>
            <c:ext xmlns:c16="http://schemas.microsoft.com/office/drawing/2014/chart" uri="{C3380CC4-5D6E-409C-BE32-E72D297353CC}">
              <c16:uniqueId val="{00000002-78BB-4DCC-8141-D1AC7CAE8211}"/>
            </c:ext>
          </c:extLst>
        </c:ser>
        <c:ser>
          <c:idx val="3"/>
          <c:order val="3"/>
          <c:tx>
            <c:strRef>
              <c:f>' &amp; Analysis'!$H$86</c:f>
              <c:strCache>
                <c:ptCount val="1"/>
                <c:pt idx="0">
                  <c:v>3-5</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Analysis'!$I$82:$M$82</c:f>
              <c:strCache>
                <c:ptCount val="4"/>
                <c:pt idx="0">
                  <c:v>2015-2016</c:v>
                </c:pt>
                <c:pt idx="1">
                  <c:v>2016-2017</c:v>
                </c:pt>
                <c:pt idx="2">
                  <c:v>2017-2018</c:v>
                </c:pt>
                <c:pt idx="3">
                  <c:v>2018-2019</c:v>
                </c:pt>
              </c:strCache>
            </c:strRef>
          </c:cat>
          <c:val>
            <c:numRef>
              <c:f>' &amp; Analysis'!$I$86:$M$86</c:f>
              <c:numCache>
                <c:formatCode>0%</c:formatCode>
                <c:ptCount val="4"/>
                <c:pt idx="0">
                  <c:v>0.18</c:v>
                </c:pt>
                <c:pt idx="1">
                  <c:v>0.25423728813559321</c:v>
                </c:pt>
                <c:pt idx="2">
                  <c:v>0.375</c:v>
                </c:pt>
                <c:pt idx="3">
                  <c:v>0.3783783783783784</c:v>
                </c:pt>
              </c:numCache>
            </c:numRef>
          </c:val>
          <c:extLst>
            <c:ext xmlns:c16="http://schemas.microsoft.com/office/drawing/2014/chart" uri="{C3380CC4-5D6E-409C-BE32-E72D297353CC}">
              <c16:uniqueId val="{00000003-78BB-4DCC-8141-D1AC7CAE8211}"/>
            </c:ext>
          </c:extLst>
        </c:ser>
        <c:dLbls>
          <c:showLegendKey val="0"/>
          <c:showVal val="1"/>
          <c:showCatName val="0"/>
          <c:showSerName val="0"/>
          <c:showPercent val="0"/>
          <c:showBubbleSize val="0"/>
        </c:dLbls>
        <c:gapWidth val="6"/>
        <c:overlap val="100"/>
        <c:axId val="499025488"/>
        <c:axId val="499027128"/>
        <c:extLst>
          <c:ext xmlns:c15="http://schemas.microsoft.com/office/drawing/2012/chart" uri="{02D57815-91ED-43cb-92C2-25804820EDAC}">
            <c15:filteredBarSeries>
              <c15:ser>
                <c:idx val="4"/>
                <c:order val="4"/>
                <c:tx>
                  <c:strRef>
                    <c:extLst>
                      <c:ext uri="{02D57815-91ED-43cb-92C2-25804820EDAC}">
                        <c15:formulaRef>
                          <c15:sqref>' &amp; Analysis'!$H$87</c15:sqref>
                        </c15:formulaRef>
                      </c:ext>
                    </c:extLst>
                    <c:strCache>
                      <c:ptCount val="1"/>
                      <c:pt idx="0">
                        <c:v>4-5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 &amp; Analysis'!$I$82:$M$82</c15:sqref>
                        </c15:formulaRef>
                      </c:ext>
                    </c:extLst>
                    <c:strCache>
                      <c:ptCount val="4"/>
                      <c:pt idx="0">
                        <c:v>2015-2016</c:v>
                      </c:pt>
                      <c:pt idx="1">
                        <c:v>2016-2017</c:v>
                      </c:pt>
                      <c:pt idx="2">
                        <c:v>2017-2018</c:v>
                      </c:pt>
                      <c:pt idx="3">
                        <c:v>2018-2019</c:v>
                      </c:pt>
                    </c:strCache>
                  </c:strRef>
                </c:cat>
                <c:val>
                  <c:numRef>
                    <c:extLst>
                      <c:ext uri="{02D57815-91ED-43cb-92C2-25804820EDAC}">
                        <c15:formulaRef>
                          <c15:sqref>' &amp; Analysis'!$I$87:$M$87</c15:sqref>
                        </c15:formulaRef>
                      </c:ext>
                    </c:extLst>
                    <c:numCache>
                      <c:formatCode>0%</c:formatCode>
                      <c:ptCount val="4"/>
                      <c:pt idx="0">
                        <c:v>0.04</c:v>
                      </c:pt>
                      <c:pt idx="1">
                        <c:v>0.13559322033898305</c:v>
                      </c:pt>
                      <c:pt idx="2">
                        <c:v>0.19444444444444445</c:v>
                      </c:pt>
                      <c:pt idx="3">
                        <c:v>0.25675675675675674</c:v>
                      </c:pt>
                    </c:numCache>
                  </c:numRef>
                </c:val>
                <c:extLst>
                  <c:ext xmlns:c16="http://schemas.microsoft.com/office/drawing/2014/chart" uri="{C3380CC4-5D6E-409C-BE32-E72D297353CC}">
                    <c16:uniqueId val="{00000004-78BB-4DCC-8141-D1AC7CAE8211}"/>
                  </c:ext>
                </c:extLst>
              </c15:ser>
            </c15:filteredBarSeries>
          </c:ext>
        </c:extLst>
      </c:barChart>
      <c:catAx>
        <c:axId val="499025488"/>
        <c:scaling>
          <c:orientation val="minMax"/>
        </c:scaling>
        <c:delete val="0"/>
        <c:axPos val="b"/>
        <c:title>
          <c:tx>
            <c:rich>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crossAx val="499027128"/>
        <c:crosses val="autoZero"/>
        <c:auto val="1"/>
        <c:lblAlgn val="ctr"/>
        <c:lblOffset val="100"/>
        <c:noMultiLvlLbl val="0"/>
      </c:catAx>
      <c:valAx>
        <c:axId val="4990271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r>
                  <a:rPr lang="en-US"/>
                  <a:t>Percentage of total children</a:t>
                </a:r>
              </a:p>
            </c:rich>
          </c:tx>
          <c:layout>
            <c:manualLayout>
              <c:xMode val="edge"/>
              <c:yMode val="edge"/>
              <c:x val="6.6343072662135724E-2"/>
              <c:y val="0.21856108997611254"/>
            </c:manualLayout>
          </c:layout>
          <c:overlay val="0"/>
          <c:spPr>
            <a:noFill/>
            <a:ln>
              <a:noFill/>
            </a:ln>
            <a:effectLst/>
          </c:spPr>
          <c:txPr>
            <a:bodyPr rot="-54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99025488"/>
        <c:crosses val="autoZero"/>
        <c:crossBetween val="between"/>
      </c:valAx>
      <c:spPr>
        <a:noFill/>
        <a:ln>
          <a:noFill/>
        </a:ln>
        <a:effectLst/>
      </c:spPr>
    </c:plotArea>
    <c:legend>
      <c:legendPos val="r"/>
      <c:layout>
        <c:manualLayout>
          <c:xMode val="edge"/>
          <c:yMode val="edge"/>
          <c:x val="0.79905919167511452"/>
          <c:y val="0.323332239720035"/>
          <c:w val="0.11687168733537938"/>
          <c:h val="0.39140505164127209"/>
        </c:manualLayout>
      </c:layout>
      <c:overlay val="0"/>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8999652754967"/>
          <c:y val="0.18164700885418369"/>
          <c:w val="0.6635672388388878"/>
          <c:h val="0.62277485542522948"/>
        </c:manualLayout>
      </c:layout>
      <c:lineChart>
        <c:grouping val="standard"/>
        <c:varyColors val="0"/>
        <c:ser>
          <c:idx val="0"/>
          <c:order val="0"/>
          <c:tx>
            <c:strRef>
              <c:f>' &amp; Analysis'!$A$120</c:f>
              <c:strCache>
                <c:ptCount val="1"/>
                <c:pt idx="0">
                  <c:v>Health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Analysis'!$B$69:$F$69</c:f>
              <c:strCache>
                <c:ptCount val="5"/>
                <c:pt idx="0">
                  <c:v>2014-2015</c:v>
                </c:pt>
                <c:pt idx="1">
                  <c:v>2015-2016</c:v>
                </c:pt>
                <c:pt idx="2">
                  <c:v>2016-2017</c:v>
                </c:pt>
                <c:pt idx="3">
                  <c:v>2017-2018</c:v>
                </c:pt>
                <c:pt idx="4">
                  <c:v>2018-2019</c:v>
                </c:pt>
              </c:strCache>
            </c:strRef>
          </c:cat>
          <c:val>
            <c:numRef>
              <c:f>' &amp; Analysis'!$B$120:$G$120</c:f>
              <c:numCache>
                <c:formatCode>General</c:formatCode>
                <c:ptCount val="6"/>
                <c:pt idx="0">
                  <c:v>17</c:v>
                </c:pt>
                <c:pt idx="1">
                  <c:v>25</c:v>
                </c:pt>
                <c:pt idx="2">
                  <c:v>26</c:v>
                </c:pt>
                <c:pt idx="3">
                  <c:v>32</c:v>
                </c:pt>
                <c:pt idx="4">
                  <c:v>28</c:v>
                </c:pt>
                <c:pt idx="5">
                  <c:v>27</c:v>
                </c:pt>
              </c:numCache>
            </c:numRef>
          </c:val>
          <c:smooth val="0"/>
          <c:extLst>
            <c:ext xmlns:c16="http://schemas.microsoft.com/office/drawing/2014/chart" uri="{C3380CC4-5D6E-409C-BE32-E72D297353CC}">
              <c16:uniqueId val="{00000000-62B3-4182-A702-4465C5C42A8D}"/>
            </c:ext>
          </c:extLst>
        </c:ser>
        <c:ser>
          <c:idx val="1"/>
          <c:order val="1"/>
          <c:tx>
            <c:strRef>
              <c:f>' &amp; Analysis'!$A$121</c:f>
              <c:strCache>
                <c:ptCount val="1"/>
                <c:pt idx="0">
                  <c:v>NHSP</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&amp; Analysis'!$B$69:$F$69</c:f>
              <c:strCache>
                <c:ptCount val="5"/>
                <c:pt idx="0">
                  <c:v>2014-2015</c:v>
                </c:pt>
                <c:pt idx="1">
                  <c:v>2015-2016</c:v>
                </c:pt>
                <c:pt idx="2">
                  <c:v>2016-2017</c:v>
                </c:pt>
                <c:pt idx="3">
                  <c:v>2017-2018</c:v>
                </c:pt>
                <c:pt idx="4">
                  <c:v>2018-2019</c:v>
                </c:pt>
              </c:strCache>
            </c:strRef>
          </c:cat>
          <c:val>
            <c:numRef>
              <c:f>' &amp; Analysis'!$B$121:$G$121</c:f>
              <c:numCache>
                <c:formatCode>General</c:formatCode>
                <c:ptCount val="6"/>
                <c:pt idx="0">
                  <c:v>13</c:v>
                </c:pt>
                <c:pt idx="1">
                  <c:v>11</c:v>
                </c:pt>
                <c:pt idx="2">
                  <c:v>9</c:v>
                </c:pt>
                <c:pt idx="3">
                  <c:v>10</c:v>
                </c:pt>
                <c:pt idx="4">
                  <c:v>11</c:v>
                </c:pt>
                <c:pt idx="5">
                  <c:v>21</c:v>
                </c:pt>
              </c:numCache>
            </c:numRef>
          </c:val>
          <c:smooth val="0"/>
          <c:extLst>
            <c:ext xmlns:c16="http://schemas.microsoft.com/office/drawing/2014/chart" uri="{C3380CC4-5D6E-409C-BE32-E72D297353CC}">
              <c16:uniqueId val="{00000001-62B3-4182-A702-4465C5C42A8D}"/>
            </c:ext>
          </c:extLst>
        </c:ser>
        <c:ser>
          <c:idx val="2"/>
          <c:order val="2"/>
          <c:tx>
            <c:strRef>
              <c:f>' &amp; Analysis'!$A$122</c:f>
              <c:strCache>
                <c:ptCount val="1"/>
                <c:pt idx="0">
                  <c:v>ISEY</c:v>
                </c:pt>
              </c:strCache>
            </c:strRef>
          </c:tx>
          <c:spPr>
            <a:ln w="28575" cap="rnd">
              <a:solidFill>
                <a:schemeClr val="accent3"/>
              </a:solidFill>
              <a:round/>
            </a:ln>
            <a:effectLst/>
          </c:spPr>
          <c:marker>
            <c:symbol val="none"/>
          </c:marker>
          <c:cat>
            <c:strRef>
              <c:f>' &amp; Analysis'!$B$69:$F$69</c:f>
              <c:strCache>
                <c:ptCount val="5"/>
                <c:pt idx="0">
                  <c:v>2014-2015</c:v>
                </c:pt>
                <c:pt idx="1">
                  <c:v>2015-2016</c:v>
                </c:pt>
                <c:pt idx="2">
                  <c:v>2016-2017</c:v>
                </c:pt>
                <c:pt idx="3">
                  <c:v>2017-2018</c:v>
                </c:pt>
                <c:pt idx="4">
                  <c:v>2018-2019</c:v>
                </c:pt>
              </c:strCache>
            </c:strRef>
          </c:cat>
          <c:val>
            <c:numRef>
              <c:f>' &amp; Analysis'!$B$122:$G$122</c:f>
              <c:numCache>
                <c:formatCode>General</c:formatCode>
                <c:ptCount val="6"/>
                <c:pt idx="0">
                  <c:v>1</c:v>
                </c:pt>
                <c:pt idx="1">
                  <c:v>1</c:v>
                </c:pt>
                <c:pt idx="2">
                  <c:v>3</c:v>
                </c:pt>
                <c:pt idx="3">
                  <c:v>4</c:v>
                </c:pt>
                <c:pt idx="4">
                  <c:v>5</c:v>
                </c:pt>
                <c:pt idx="5">
                  <c:v>3</c:v>
                </c:pt>
              </c:numCache>
            </c:numRef>
          </c:val>
          <c:smooth val="0"/>
          <c:extLst>
            <c:ext xmlns:c16="http://schemas.microsoft.com/office/drawing/2014/chart" uri="{C3380CC4-5D6E-409C-BE32-E72D297353CC}">
              <c16:uniqueId val="{00000002-62B3-4182-A702-4465C5C42A8D}"/>
            </c:ext>
          </c:extLst>
        </c:ser>
        <c:ser>
          <c:idx val="3"/>
          <c:order val="3"/>
          <c:tx>
            <c:strRef>
              <c:f>' &amp; Analysis'!$A$123</c:f>
              <c:strCache>
                <c:ptCount val="1"/>
                <c:pt idx="0">
                  <c:v>Inclusion Support</c:v>
                </c:pt>
              </c:strCache>
            </c:strRef>
          </c:tx>
          <c:spPr>
            <a:ln w="28575" cap="rnd">
              <a:solidFill>
                <a:schemeClr val="accent4"/>
              </a:solidFill>
              <a:round/>
            </a:ln>
            <a:effectLst/>
          </c:spPr>
          <c:marker>
            <c:symbol val="none"/>
          </c:marker>
          <c:cat>
            <c:strRef>
              <c:f>' &amp; Analysis'!$B$69:$F$69</c:f>
              <c:strCache>
                <c:ptCount val="5"/>
                <c:pt idx="0">
                  <c:v>2014-2015</c:v>
                </c:pt>
                <c:pt idx="1">
                  <c:v>2015-2016</c:v>
                </c:pt>
                <c:pt idx="2">
                  <c:v>2016-2017</c:v>
                </c:pt>
                <c:pt idx="3">
                  <c:v>2017-2018</c:v>
                </c:pt>
                <c:pt idx="4">
                  <c:v>2018-2019</c:v>
                </c:pt>
              </c:strCache>
            </c:strRef>
          </c:cat>
          <c:val>
            <c:numRef>
              <c:f>' &amp; Analysis'!$B$123:$G$123</c:f>
              <c:numCache>
                <c:formatCode>General</c:formatCode>
                <c:ptCount val="6"/>
              </c:numCache>
            </c:numRef>
          </c:val>
          <c:smooth val="0"/>
          <c:extLst>
            <c:ext xmlns:c16="http://schemas.microsoft.com/office/drawing/2014/chart" uri="{C3380CC4-5D6E-409C-BE32-E72D297353CC}">
              <c16:uniqueId val="{00000003-62B3-4182-A702-4465C5C42A8D}"/>
            </c:ext>
          </c:extLst>
        </c:ser>
        <c:ser>
          <c:idx val="4"/>
          <c:order val="4"/>
          <c:tx>
            <c:strRef>
              <c:f>' &amp; Analysis'!$A$124</c:f>
              <c:strCache>
                <c:ptCount val="1"/>
                <c:pt idx="0">
                  <c:v>Other LA SST's</c:v>
                </c:pt>
              </c:strCache>
            </c:strRef>
          </c:tx>
          <c:spPr>
            <a:ln w="28575" cap="rnd">
              <a:solidFill>
                <a:schemeClr val="accent5"/>
              </a:solidFill>
              <a:round/>
            </a:ln>
            <a:effectLst/>
          </c:spPr>
          <c:marker>
            <c:symbol val="none"/>
          </c:marker>
          <c:cat>
            <c:strRef>
              <c:f>' &amp; Analysis'!$B$69:$F$69</c:f>
              <c:strCache>
                <c:ptCount val="5"/>
                <c:pt idx="0">
                  <c:v>2014-2015</c:v>
                </c:pt>
                <c:pt idx="1">
                  <c:v>2015-2016</c:v>
                </c:pt>
                <c:pt idx="2">
                  <c:v>2016-2017</c:v>
                </c:pt>
                <c:pt idx="3">
                  <c:v>2017-2018</c:v>
                </c:pt>
                <c:pt idx="4">
                  <c:v>2018-2019</c:v>
                </c:pt>
              </c:strCache>
            </c:strRef>
          </c:cat>
          <c:val>
            <c:numRef>
              <c:f>' &amp; Analysis'!$B$124:$G$124</c:f>
              <c:numCache>
                <c:formatCode>General</c:formatCode>
                <c:ptCount val="6"/>
                <c:pt idx="0">
                  <c:v>4</c:v>
                </c:pt>
                <c:pt idx="1">
                  <c:v>5</c:v>
                </c:pt>
                <c:pt idx="2">
                  <c:v>4</c:v>
                </c:pt>
                <c:pt idx="3">
                  <c:v>2</c:v>
                </c:pt>
                <c:pt idx="4">
                  <c:v>2</c:v>
                </c:pt>
                <c:pt idx="5">
                  <c:v>3</c:v>
                </c:pt>
              </c:numCache>
            </c:numRef>
          </c:val>
          <c:smooth val="0"/>
          <c:extLst>
            <c:ext xmlns:c16="http://schemas.microsoft.com/office/drawing/2014/chart" uri="{C3380CC4-5D6E-409C-BE32-E72D297353CC}">
              <c16:uniqueId val="{00000004-62B3-4182-A702-4465C5C42A8D}"/>
            </c:ext>
          </c:extLst>
        </c:ser>
        <c:ser>
          <c:idx val="5"/>
          <c:order val="5"/>
          <c:tx>
            <c:strRef>
              <c:f>' &amp; Analysis'!$A$125</c:f>
              <c:strCache>
                <c:ptCount val="1"/>
                <c:pt idx="0">
                  <c:v>Parent</c:v>
                </c:pt>
              </c:strCache>
            </c:strRef>
          </c:tx>
          <c:spPr>
            <a:ln w="28575" cap="rnd">
              <a:solidFill>
                <a:schemeClr val="accent6"/>
              </a:solidFill>
              <a:round/>
            </a:ln>
            <a:effectLst/>
          </c:spPr>
          <c:marker>
            <c:symbol val="none"/>
          </c:marker>
          <c:cat>
            <c:strRef>
              <c:f>' &amp; Analysis'!$B$69:$F$69</c:f>
              <c:strCache>
                <c:ptCount val="5"/>
                <c:pt idx="0">
                  <c:v>2014-2015</c:v>
                </c:pt>
                <c:pt idx="1">
                  <c:v>2015-2016</c:v>
                </c:pt>
                <c:pt idx="2">
                  <c:v>2016-2017</c:v>
                </c:pt>
                <c:pt idx="3">
                  <c:v>2017-2018</c:v>
                </c:pt>
                <c:pt idx="4">
                  <c:v>2018-2019</c:v>
                </c:pt>
              </c:strCache>
            </c:strRef>
          </c:cat>
          <c:val>
            <c:numRef>
              <c:f>' &amp; Analysis'!$B$125:$G$125</c:f>
              <c:numCache>
                <c:formatCode>General</c:formatCode>
                <c:ptCount val="6"/>
                <c:pt idx="0">
                  <c:v>0</c:v>
                </c:pt>
                <c:pt idx="1">
                  <c:v>0</c:v>
                </c:pt>
                <c:pt idx="2">
                  <c:v>0</c:v>
                </c:pt>
                <c:pt idx="3">
                  <c:v>1</c:v>
                </c:pt>
                <c:pt idx="4">
                  <c:v>1</c:v>
                </c:pt>
                <c:pt idx="5">
                  <c:v>1</c:v>
                </c:pt>
              </c:numCache>
            </c:numRef>
          </c:val>
          <c:smooth val="0"/>
          <c:extLst>
            <c:ext xmlns:c16="http://schemas.microsoft.com/office/drawing/2014/chart" uri="{C3380CC4-5D6E-409C-BE32-E72D297353CC}">
              <c16:uniqueId val="{00000005-62B3-4182-A702-4465C5C42A8D}"/>
            </c:ext>
          </c:extLst>
        </c:ser>
        <c:ser>
          <c:idx val="6"/>
          <c:order val="6"/>
          <c:tx>
            <c:strRef>
              <c:f>' &amp; Analysis'!$A$126</c:f>
              <c:strCache>
                <c:ptCount val="1"/>
                <c:pt idx="0">
                  <c:v>School</c:v>
                </c:pt>
              </c:strCache>
            </c:strRef>
          </c:tx>
          <c:spPr>
            <a:ln w="28575" cap="rnd">
              <a:solidFill>
                <a:schemeClr val="accent1">
                  <a:lumMod val="60000"/>
                </a:schemeClr>
              </a:solidFill>
              <a:round/>
            </a:ln>
            <a:effectLst/>
          </c:spPr>
          <c:marker>
            <c:symbol val="none"/>
          </c:marker>
          <c:cat>
            <c:strRef>
              <c:f>' &amp; Analysis'!$B$69:$F$69</c:f>
              <c:strCache>
                <c:ptCount val="5"/>
                <c:pt idx="0">
                  <c:v>2014-2015</c:v>
                </c:pt>
                <c:pt idx="1">
                  <c:v>2015-2016</c:v>
                </c:pt>
                <c:pt idx="2">
                  <c:v>2016-2017</c:v>
                </c:pt>
                <c:pt idx="3">
                  <c:v>2017-2018</c:v>
                </c:pt>
                <c:pt idx="4">
                  <c:v>2018-2019</c:v>
                </c:pt>
              </c:strCache>
            </c:strRef>
          </c:cat>
          <c:val>
            <c:numRef>
              <c:f>' &amp; Analysis'!$B$126:$G$126</c:f>
              <c:numCache>
                <c:formatCode>General</c:formatCode>
                <c:ptCount val="6"/>
                <c:pt idx="0">
                  <c:v>1</c:v>
                </c:pt>
                <c:pt idx="1">
                  <c:v>4</c:v>
                </c:pt>
                <c:pt idx="2">
                  <c:v>6</c:v>
                </c:pt>
                <c:pt idx="3">
                  <c:v>6</c:v>
                </c:pt>
                <c:pt idx="4">
                  <c:v>4</c:v>
                </c:pt>
                <c:pt idx="5">
                  <c:v>3</c:v>
                </c:pt>
              </c:numCache>
            </c:numRef>
          </c:val>
          <c:smooth val="0"/>
          <c:extLst>
            <c:ext xmlns:c16="http://schemas.microsoft.com/office/drawing/2014/chart" uri="{C3380CC4-5D6E-409C-BE32-E72D297353CC}">
              <c16:uniqueId val="{00000006-62B3-4182-A702-4465C5C42A8D}"/>
            </c:ext>
          </c:extLst>
        </c:ser>
        <c:ser>
          <c:idx val="7"/>
          <c:order val="7"/>
          <c:tx>
            <c:strRef>
              <c:f>' &amp; Analysis'!$A$127</c:f>
              <c:strCache>
                <c:ptCount val="1"/>
                <c:pt idx="0">
                  <c:v>Other</c:v>
                </c:pt>
              </c:strCache>
            </c:strRef>
          </c:tx>
          <c:spPr>
            <a:ln w="28575" cap="rnd">
              <a:solidFill>
                <a:schemeClr val="accent2">
                  <a:lumMod val="60000"/>
                </a:schemeClr>
              </a:solidFill>
              <a:round/>
            </a:ln>
            <a:effectLst/>
          </c:spPr>
          <c:marker>
            <c:symbol val="none"/>
          </c:marker>
          <c:cat>
            <c:strRef>
              <c:f>' &amp; Analysis'!$B$69:$F$69</c:f>
              <c:strCache>
                <c:ptCount val="5"/>
                <c:pt idx="0">
                  <c:v>2014-2015</c:v>
                </c:pt>
                <c:pt idx="1">
                  <c:v>2015-2016</c:v>
                </c:pt>
                <c:pt idx="2">
                  <c:v>2016-2017</c:v>
                </c:pt>
                <c:pt idx="3">
                  <c:v>2017-2018</c:v>
                </c:pt>
                <c:pt idx="4">
                  <c:v>2018-2019</c:v>
                </c:pt>
              </c:strCache>
            </c:strRef>
          </c:cat>
          <c:val>
            <c:numRef>
              <c:f>' &amp; Analysis'!$B$127:$G$127</c:f>
              <c:numCache>
                <c:formatCode>General</c:formatCode>
                <c:ptCount val="6"/>
                <c:pt idx="0">
                  <c:v>2</c:v>
                </c:pt>
                <c:pt idx="1">
                  <c:v>2</c:v>
                </c:pt>
                <c:pt idx="2">
                  <c:v>3</c:v>
                </c:pt>
                <c:pt idx="3">
                  <c:v>3</c:v>
                </c:pt>
                <c:pt idx="4">
                  <c:v>4</c:v>
                </c:pt>
                <c:pt idx="5">
                  <c:v>3</c:v>
                </c:pt>
              </c:numCache>
            </c:numRef>
          </c:val>
          <c:smooth val="0"/>
          <c:extLst>
            <c:ext xmlns:c16="http://schemas.microsoft.com/office/drawing/2014/chart" uri="{C3380CC4-5D6E-409C-BE32-E72D297353CC}">
              <c16:uniqueId val="{00000007-62B3-4182-A702-4465C5C42A8D}"/>
            </c:ext>
          </c:extLst>
        </c:ser>
        <c:dLbls>
          <c:showLegendKey val="0"/>
          <c:showVal val="0"/>
          <c:showCatName val="0"/>
          <c:showSerName val="0"/>
          <c:showPercent val="0"/>
          <c:showBubbleSize val="0"/>
        </c:dLbls>
        <c:smooth val="0"/>
        <c:axId val="637110320"/>
        <c:axId val="637110648"/>
      </c:lineChart>
      <c:catAx>
        <c:axId val="6371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110648"/>
        <c:crosses val="autoZero"/>
        <c:auto val="1"/>
        <c:lblAlgn val="ctr"/>
        <c:lblOffset val="100"/>
        <c:noMultiLvlLbl val="0"/>
      </c:catAx>
      <c:valAx>
        <c:axId val="63711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110320"/>
        <c:crosses val="autoZero"/>
        <c:crossBetween val="between"/>
      </c:valAx>
      <c:spPr>
        <a:noFill/>
        <a:ln>
          <a:noFill/>
        </a:ln>
        <a:effectLst/>
      </c:spPr>
    </c:plotArea>
    <c:legend>
      <c:legendPos val="b"/>
      <c:legendEntry>
        <c:idx val="3"/>
        <c:delete val="1"/>
      </c:legendEntry>
      <c:layout>
        <c:manualLayout>
          <c:xMode val="edge"/>
          <c:yMode val="edge"/>
          <c:x val="0.79008411395949762"/>
          <c:y val="7.9896971951632742E-2"/>
          <c:w val="0.18207400842011973"/>
          <c:h val="0.82982316045883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8637619056757"/>
          <c:y val="0.14001838098313424"/>
          <c:w val="0.74231834193781399"/>
          <c:h val="0.64204697659577314"/>
        </c:manualLayout>
      </c:layout>
      <c:lineChart>
        <c:grouping val="standard"/>
        <c:varyColors val="0"/>
        <c:ser>
          <c:idx val="0"/>
          <c:order val="0"/>
          <c:tx>
            <c:strRef>
              <c:f>ADS!$N$29:$O$29</c:f>
              <c:strCache>
                <c:ptCount val="2"/>
                <c:pt idx="0">
                  <c:v>Sandwell</c:v>
                </c:pt>
                <c:pt idx="1">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ADS!$P$2:$T$2</c:f>
              <c:strCache>
                <c:ptCount val="5"/>
                <c:pt idx="0">
                  <c:v>2014-15</c:v>
                </c:pt>
                <c:pt idx="1">
                  <c:v>2015-16</c:v>
                </c:pt>
                <c:pt idx="2">
                  <c:v>2016-17</c:v>
                </c:pt>
                <c:pt idx="3">
                  <c:v>2017-18</c:v>
                </c:pt>
                <c:pt idx="4">
                  <c:v>2018-19</c:v>
                </c:pt>
              </c:strCache>
            </c:strRef>
          </c:cat>
          <c:val>
            <c:numRef>
              <c:f>ADS!$P$30:$T$30</c:f>
              <c:numCache>
                <c:formatCode>0.0</c:formatCode>
                <c:ptCount val="5"/>
                <c:pt idx="0">
                  <c:v>0.94148824883185711</c:v>
                </c:pt>
                <c:pt idx="1">
                  <c:v>1.2523481527864746</c:v>
                </c:pt>
                <c:pt idx="2">
                  <c:v>0.96458591704561114</c:v>
                </c:pt>
                <c:pt idx="3">
                  <c:v>1.0901781759956393</c:v>
                </c:pt>
                <c:pt idx="4">
                  <c:v>1.8639328984156569</c:v>
                </c:pt>
              </c:numCache>
            </c:numRef>
          </c:val>
          <c:smooth val="0"/>
          <c:extLst>
            <c:ext xmlns:c16="http://schemas.microsoft.com/office/drawing/2014/chart" uri="{C3380CC4-5D6E-409C-BE32-E72D297353CC}">
              <c16:uniqueId val="{00000000-4D92-457F-B681-A2C9CF784B53}"/>
            </c:ext>
          </c:extLst>
        </c:ser>
        <c:dLbls>
          <c:showLegendKey val="0"/>
          <c:showVal val="0"/>
          <c:showCatName val="0"/>
          <c:showSerName val="0"/>
          <c:showPercent val="0"/>
          <c:showBubbleSize val="0"/>
        </c:dLbls>
        <c:marker val="1"/>
        <c:smooth val="0"/>
        <c:axId val="678191528"/>
        <c:axId val="678191856"/>
      </c:lineChart>
      <c:catAx>
        <c:axId val="678191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8909395000703776"/>
              <c:y val="0.888520276425500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8191856"/>
        <c:crosses val="autoZero"/>
        <c:auto val="1"/>
        <c:lblAlgn val="ctr"/>
        <c:lblOffset val="100"/>
        <c:noMultiLvlLbl val="0"/>
      </c:catAx>
      <c:valAx>
        <c:axId val="67819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 per 1,000 children aged 0-5</a:t>
                </a:r>
              </a:p>
            </c:rich>
          </c:tx>
          <c:layout>
            <c:manualLayout>
              <c:xMode val="edge"/>
              <c:yMode val="edge"/>
              <c:x val="4.238481656666393E-2"/>
              <c:y val="0.118671219240036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8191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06058089404014"/>
          <c:y val="0.1495588235294118"/>
          <c:w val="0.64950841924728375"/>
          <c:h val="0.61935579743708502"/>
        </c:manualLayout>
      </c:layout>
      <c:barChart>
        <c:barDir val="col"/>
        <c:grouping val="clustered"/>
        <c:varyColors val="0"/>
        <c:ser>
          <c:idx val="0"/>
          <c:order val="0"/>
          <c:tx>
            <c:strRef>
              <c:f>ADS!$N$26:$O$26</c:f>
              <c:strCache>
                <c:ptCount val="2"/>
                <c:pt idx="0">
                  <c:v>Boys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ADS!$P$2:$T$2</c:f>
              <c:strCache>
                <c:ptCount val="5"/>
                <c:pt idx="0">
                  <c:v>2014-15</c:v>
                </c:pt>
                <c:pt idx="1">
                  <c:v>2015-16</c:v>
                </c:pt>
                <c:pt idx="2">
                  <c:v>2016-17</c:v>
                </c:pt>
                <c:pt idx="3">
                  <c:v>2017-18</c:v>
                </c:pt>
                <c:pt idx="4">
                  <c:v>2018-19</c:v>
                </c:pt>
              </c:strCache>
            </c:strRef>
          </c:cat>
          <c:val>
            <c:numRef>
              <c:f>ADS!$P$26:$T$26</c:f>
              <c:numCache>
                <c:formatCode>0.0</c:formatCode>
                <c:ptCount val="5"/>
                <c:pt idx="0">
                  <c:v>1.362862010221465</c:v>
                </c:pt>
                <c:pt idx="1">
                  <c:v>2.0444323292899007</c:v>
                </c:pt>
                <c:pt idx="2">
                  <c:v>1.4729512587038029</c:v>
                </c:pt>
                <c:pt idx="3">
                  <c:v>1.6554098794861609</c:v>
                </c:pt>
                <c:pt idx="4">
                  <c:v>3.0126531432014461</c:v>
                </c:pt>
              </c:numCache>
            </c:numRef>
          </c:val>
          <c:extLst>
            <c:ext xmlns:c16="http://schemas.microsoft.com/office/drawing/2014/chart" uri="{C3380CC4-5D6E-409C-BE32-E72D297353CC}">
              <c16:uniqueId val="{00000000-AA30-4922-8A1C-5F84E3367DD0}"/>
            </c:ext>
          </c:extLst>
        </c:ser>
        <c:ser>
          <c:idx val="1"/>
          <c:order val="1"/>
          <c:tx>
            <c:strRef>
              <c:f>ADS!$N$28</c:f>
              <c:strCache>
                <c:ptCount val="1"/>
                <c:pt idx="0">
                  <c:v>Girls</c:v>
                </c:pt>
              </c:strCache>
            </c:strRef>
          </c:tx>
          <c:spPr>
            <a:solidFill>
              <a:srgbClr val="FFCCFF"/>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ADS!$P$2:$T$2</c:f>
              <c:strCache>
                <c:ptCount val="5"/>
                <c:pt idx="0">
                  <c:v>2014-15</c:v>
                </c:pt>
                <c:pt idx="1">
                  <c:v>2015-16</c:v>
                </c:pt>
                <c:pt idx="2">
                  <c:v>2016-17</c:v>
                </c:pt>
                <c:pt idx="3">
                  <c:v>2017-18</c:v>
                </c:pt>
                <c:pt idx="4">
                  <c:v>2018-19</c:v>
                </c:pt>
              </c:strCache>
            </c:strRef>
          </c:cat>
          <c:val>
            <c:numRef>
              <c:f>ADS!$P$28:$T$28</c:f>
              <c:numCache>
                <c:formatCode>0.0</c:formatCode>
                <c:ptCount val="5"/>
                <c:pt idx="0">
                  <c:v>0.49989288009712207</c:v>
                </c:pt>
                <c:pt idx="1">
                  <c:v>0.42637862421830586</c:v>
                </c:pt>
                <c:pt idx="2">
                  <c:v>0.42577348850411578</c:v>
                </c:pt>
                <c:pt idx="3">
                  <c:v>0.49119360044909127</c:v>
                </c:pt>
                <c:pt idx="4">
                  <c:v>0.64129970072680631</c:v>
                </c:pt>
              </c:numCache>
            </c:numRef>
          </c:val>
          <c:extLst>
            <c:ext xmlns:c16="http://schemas.microsoft.com/office/drawing/2014/chart" uri="{C3380CC4-5D6E-409C-BE32-E72D297353CC}">
              <c16:uniqueId val="{00000001-AA30-4922-8A1C-5F84E3367DD0}"/>
            </c:ext>
          </c:extLst>
        </c:ser>
        <c:dLbls>
          <c:showLegendKey val="0"/>
          <c:showVal val="0"/>
          <c:showCatName val="0"/>
          <c:showSerName val="0"/>
          <c:showPercent val="0"/>
          <c:showBubbleSize val="0"/>
        </c:dLbls>
        <c:gapWidth val="150"/>
        <c:axId val="527439208"/>
        <c:axId val="527433304"/>
      </c:barChart>
      <c:catAx>
        <c:axId val="527439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7433304"/>
        <c:crosses val="autoZero"/>
        <c:auto val="1"/>
        <c:lblAlgn val="ctr"/>
        <c:lblOffset val="100"/>
        <c:noMultiLvlLbl val="0"/>
      </c:catAx>
      <c:valAx>
        <c:axId val="527433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 per 1,000 children aged</a:t>
                </a:r>
              </a:p>
              <a:p>
                <a:pPr>
                  <a:defRPr/>
                </a:pPr>
                <a:r>
                  <a:rPr lang="en-US"/>
                  <a:t> 0-5</a:t>
                </a:r>
              </a:p>
            </c:rich>
          </c:tx>
          <c:layout>
            <c:manualLayout>
              <c:xMode val="edge"/>
              <c:yMode val="edge"/>
              <c:x val="4.7298245614035089E-2"/>
              <c:y val="0.205537973394441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7439208"/>
        <c:crosses val="autoZero"/>
        <c:crossBetween val="between"/>
      </c:valAx>
      <c:spPr>
        <a:noFill/>
        <a:ln>
          <a:noFill/>
        </a:ln>
        <a:effectLst/>
      </c:spPr>
    </c:plotArea>
    <c:legend>
      <c:legendPos val="b"/>
      <c:layout>
        <c:manualLayout>
          <c:xMode val="edge"/>
          <c:yMode val="edge"/>
          <c:x val="0.84320454680007084"/>
          <c:y val="0.33647084179832298"/>
          <c:w val="0.12562098158782783"/>
          <c:h val="0.259596996577959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56758824429457"/>
          <c:y val="0.13840085563075108"/>
          <c:w val="0.71600240594925624"/>
          <c:h val="0.62271662763466029"/>
        </c:manualLayout>
      </c:layout>
      <c:barChart>
        <c:barDir val="col"/>
        <c:grouping val="clustered"/>
        <c:varyColors val="0"/>
        <c:ser>
          <c:idx val="0"/>
          <c:order val="0"/>
          <c:tx>
            <c:strRef>
              <c:f>ADS!$X$42</c:f>
              <c:strCache>
                <c:ptCount val="1"/>
                <c:pt idx="0">
                  <c:v>Town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ADS!$W$43:$W$48</c:f>
              <c:strCache>
                <c:ptCount val="6"/>
                <c:pt idx="0">
                  <c:v>Rowley Regis</c:v>
                </c:pt>
                <c:pt idx="1">
                  <c:v>Oldbury</c:v>
                </c:pt>
                <c:pt idx="2">
                  <c:v>Tipton</c:v>
                </c:pt>
                <c:pt idx="3">
                  <c:v>Wednesbury</c:v>
                </c:pt>
                <c:pt idx="4">
                  <c:v>West Bromwich</c:v>
                </c:pt>
                <c:pt idx="5">
                  <c:v>Smethwick</c:v>
                </c:pt>
              </c:strCache>
            </c:strRef>
          </c:cat>
          <c:val>
            <c:numRef>
              <c:f>ADS!$X$43:$X$48</c:f>
              <c:numCache>
                <c:formatCode>0.0</c:formatCode>
                <c:ptCount val="6"/>
                <c:pt idx="0">
                  <c:v>3.1818181818181821</c:v>
                </c:pt>
                <c:pt idx="1">
                  <c:v>2.1496130696474633</c:v>
                </c:pt>
                <c:pt idx="2">
                  <c:v>1.8305439330543933</c:v>
                </c:pt>
                <c:pt idx="3">
                  <c:v>1.4929829799940282</c:v>
                </c:pt>
                <c:pt idx="4">
                  <c:v>1.4602803738317756</c:v>
                </c:pt>
                <c:pt idx="5">
                  <c:v>1.2738853503184713</c:v>
                </c:pt>
              </c:numCache>
            </c:numRef>
          </c:val>
          <c:extLst>
            <c:ext xmlns:c16="http://schemas.microsoft.com/office/drawing/2014/chart" uri="{C3380CC4-5D6E-409C-BE32-E72D297353CC}">
              <c16:uniqueId val="{00000000-342D-4709-918D-64A81261532F}"/>
            </c:ext>
          </c:extLst>
        </c:ser>
        <c:dLbls>
          <c:showLegendKey val="0"/>
          <c:showVal val="0"/>
          <c:showCatName val="0"/>
          <c:showSerName val="0"/>
          <c:showPercent val="0"/>
          <c:showBubbleSize val="0"/>
        </c:dLbls>
        <c:gapWidth val="150"/>
        <c:axId val="673316496"/>
        <c:axId val="673316168"/>
      </c:barChart>
      <c:lineChart>
        <c:grouping val="standard"/>
        <c:varyColors val="0"/>
        <c:ser>
          <c:idx val="1"/>
          <c:order val="1"/>
          <c:tx>
            <c:strRef>
              <c:f>ADS!$Y$42</c:f>
              <c:strCache>
                <c:ptCount val="1"/>
                <c:pt idx="0">
                  <c:v>Sandwell</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342D-4709-918D-64A81261532F}"/>
                </c:ext>
              </c:extLst>
            </c:dLbl>
            <c:dLbl>
              <c:idx val="1"/>
              <c:delete val="1"/>
              <c:extLst>
                <c:ext xmlns:c15="http://schemas.microsoft.com/office/drawing/2012/chart" uri="{CE6537A1-D6FC-4f65-9D91-7224C49458BB}"/>
                <c:ext xmlns:c16="http://schemas.microsoft.com/office/drawing/2014/chart" uri="{C3380CC4-5D6E-409C-BE32-E72D297353CC}">
                  <c16:uniqueId val="{00000002-342D-4709-918D-64A81261532F}"/>
                </c:ext>
              </c:extLst>
            </c:dLbl>
            <c:dLbl>
              <c:idx val="2"/>
              <c:delete val="1"/>
              <c:extLst>
                <c:ext xmlns:c15="http://schemas.microsoft.com/office/drawing/2012/chart" uri="{CE6537A1-D6FC-4f65-9D91-7224C49458BB}"/>
                <c:ext xmlns:c16="http://schemas.microsoft.com/office/drawing/2014/chart" uri="{C3380CC4-5D6E-409C-BE32-E72D297353CC}">
                  <c16:uniqueId val="{00000003-342D-4709-918D-64A81261532F}"/>
                </c:ext>
              </c:extLst>
            </c:dLbl>
            <c:dLbl>
              <c:idx val="3"/>
              <c:delete val="1"/>
              <c:extLst>
                <c:ext xmlns:c15="http://schemas.microsoft.com/office/drawing/2012/chart" uri="{CE6537A1-D6FC-4f65-9D91-7224C49458BB}"/>
                <c:ext xmlns:c16="http://schemas.microsoft.com/office/drawing/2014/chart" uri="{C3380CC4-5D6E-409C-BE32-E72D297353CC}">
                  <c16:uniqueId val="{00000004-342D-4709-918D-64A81261532F}"/>
                </c:ext>
              </c:extLst>
            </c:dLbl>
            <c:dLbl>
              <c:idx val="4"/>
              <c:delete val="1"/>
              <c:extLst>
                <c:ext xmlns:c15="http://schemas.microsoft.com/office/drawing/2012/chart" uri="{CE6537A1-D6FC-4f65-9D91-7224C49458BB}"/>
                <c:ext xmlns:c16="http://schemas.microsoft.com/office/drawing/2014/chart" uri="{C3380CC4-5D6E-409C-BE32-E72D297353CC}">
                  <c16:uniqueId val="{00000005-342D-4709-918D-64A81261532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ADS!$W$43:$W$48</c:f>
              <c:strCache>
                <c:ptCount val="6"/>
                <c:pt idx="0">
                  <c:v>Rowley Regis</c:v>
                </c:pt>
                <c:pt idx="1">
                  <c:v>Oldbury</c:v>
                </c:pt>
                <c:pt idx="2">
                  <c:v>Tipton</c:v>
                </c:pt>
                <c:pt idx="3">
                  <c:v>Wednesbury</c:v>
                </c:pt>
                <c:pt idx="4">
                  <c:v>West Bromwich</c:v>
                </c:pt>
                <c:pt idx="5">
                  <c:v>Smethwick</c:v>
                </c:pt>
              </c:strCache>
            </c:strRef>
          </c:cat>
          <c:val>
            <c:numRef>
              <c:f>ADS!$Y$43:$Y$48</c:f>
              <c:numCache>
                <c:formatCode>0.0</c:formatCode>
                <c:ptCount val="6"/>
                <c:pt idx="0">
                  <c:v>1.8396756719926413</c:v>
                </c:pt>
                <c:pt idx="1">
                  <c:v>1.8396756719926413</c:v>
                </c:pt>
                <c:pt idx="2">
                  <c:v>1.8396756719926413</c:v>
                </c:pt>
                <c:pt idx="3">
                  <c:v>1.8396756719926413</c:v>
                </c:pt>
                <c:pt idx="4">
                  <c:v>1.8396756719926413</c:v>
                </c:pt>
                <c:pt idx="5">
                  <c:v>1.8396756719926413</c:v>
                </c:pt>
              </c:numCache>
            </c:numRef>
          </c:val>
          <c:smooth val="0"/>
          <c:extLst>
            <c:ext xmlns:c16="http://schemas.microsoft.com/office/drawing/2014/chart" uri="{C3380CC4-5D6E-409C-BE32-E72D297353CC}">
              <c16:uniqueId val="{00000006-342D-4709-918D-64A81261532F}"/>
            </c:ext>
          </c:extLst>
        </c:ser>
        <c:dLbls>
          <c:showLegendKey val="0"/>
          <c:showVal val="0"/>
          <c:showCatName val="0"/>
          <c:showSerName val="0"/>
          <c:showPercent val="0"/>
          <c:showBubbleSize val="0"/>
        </c:dLbls>
        <c:marker val="1"/>
        <c:smooth val="0"/>
        <c:axId val="673316496"/>
        <c:axId val="673316168"/>
      </c:lineChart>
      <c:catAx>
        <c:axId val="67331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3316168"/>
        <c:crosses val="autoZero"/>
        <c:auto val="1"/>
        <c:lblAlgn val="ctr"/>
        <c:lblOffset val="100"/>
        <c:noMultiLvlLbl val="0"/>
      </c:catAx>
      <c:valAx>
        <c:axId val="673316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 per 1,000 children aged 0-5</a:t>
                </a:r>
              </a:p>
            </c:rich>
          </c:tx>
          <c:layout>
            <c:manualLayout>
              <c:xMode val="edge"/>
              <c:yMode val="edge"/>
              <c:x val="8.8045070599358941E-2"/>
              <c:y val="0.188564028549791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73316496"/>
        <c:crosses val="autoZero"/>
        <c:crossBetween val="between"/>
      </c:valAx>
      <c:spPr>
        <a:noFill/>
        <a:ln>
          <a:noFill/>
        </a:ln>
        <a:effectLst/>
      </c:spPr>
    </c:plotArea>
    <c:legend>
      <c:legendPos val="b"/>
      <c:layout>
        <c:manualLayout>
          <c:xMode val="edge"/>
          <c:yMode val="edge"/>
          <c:x val="0.60476186126386178"/>
          <c:y val="0.18677328377431082"/>
          <c:w val="0.2562998010898862"/>
          <c:h val="7.6178664082851053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27451597670392"/>
          <c:y val="0.15313495370370372"/>
          <c:w val="0.75025499763891057"/>
          <c:h val="0.68757615740740741"/>
        </c:manualLayout>
      </c:layout>
      <c:barChart>
        <c:barDir val="col"/>
        <c:grouping val="clustered"/>
        <c:varyColors val="0"/>
        <c:ser>
          <c:idx val="0"/>
          <c:order val="0"/>
          <c:tx>
            <c:strRef>
              <c:f>'By Service'!$C$41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Service'!$B$42:$B$44</c:f>
              <c:strCache>
                <c:ptCount val="3"/>
                <c:pt idx="0">
                  <c:v>Occupational Therapy</c:v>
                </c:pt>
                <c:pt idx="1">
                  <c:v>Physiotherapy</c:v>
                </c:pt>
                <c:pt idx="2">
                  <c:v>Speech &amp; Language Therapy</c:v>
                </c:pt>
              </c:strCache>
            </c:strRef>
          </c:cat>
          <c:val>
            <c:numRef>
              <c:f>'By Service'!$C$42:$C$44</c:f>
              <c:numCache>
                <c:formatCode>General</c:formatCode>
                <c:ptCount val="3"/>
                <c:pt idx="0">
                  <c:v>222</c:v>
                </c:pt>
                <c:pt idx="1">
                  <c:v>173</c:v>
                </c:pt>
                <c:pt idx="2">
                  <c:v>755</c:v>
                </c:pt>
              </c:numCache>
            </c:numRef>
          </c:val>
          <c:extLst>
            <c:ext xmlns:c16="http://schemas.microsoft.com/office/drawing/2014/chart" uri="{C3380CC4-5D6E-409C-BE32-E72D297353CC}">
              <c16:uniqueId val="{00000000-45E9-483B-B087-6E1784B27B19}"/>
            </c:ext>
          </c:extLst>
        </c:ser>
        <c:ser>
          <c:idx val="1"/>
          <c:order val="1"/>
          <c:tx>
            <c:strRef>
              <c:f>'By Service'!$D$41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Service'!$B$42:$B$44</c:f>
              <c:strCache>
                <c:ptCount val="3"/>
                <c:pt idx="0">
                  <c:v>Occupational Therapy</c:v>
                </c:pt>
                <c:pt idx="1">
                  <c:v>Physiotherapy</c:v>
                </c:pt>
                <c:pt idx="2">
                  <c:v>Speech &amp; Language Therapy</c:v>
                </c:pt>
              </c:strCache>
            </c:strRef>
          </c:cat>
          <c:val>
            <c:numRef>
              <c:f>'By Service'!$D$42:$D$44</c:f>
              <c:numCache>
                <c:formatCode>General</c:formatCode>
                <c:ptCount val="3"/>
                <c:pt idx="0">
                  <c:v>265</c:v>
                </c:pt>
                <c:pt idx="1">
                  <c:v>199</c:v>
                </c:pt>
                <c:pt idx="2">
                  <c:v>788</c:v>
                </c:pt>
              </c:numCache>
            </c:numRef>
          </c:val>
          <c:extLst>
            <c:ext xmlns:c16="http://schemas.microsoft.com/office/drawing/2014/chart" uri="{C3380CC4-5D6E-409C-BE32-E72D297353CC}">
              <c16:uniqueId val="{00000001-45E9-483B-B087-6E1784B27B19}"/>
            </c:ext>
          </c:extLst>
        </c:ser>
        <c:dLbls>
          <c:showLegendKey val="0"/>
          <c:showVal val="0"/>
          <c:showCatName val="0"/>
          <c:showSerName val="0"/>
          <c:showPercent val="0"/>
          <c:showBubbleSize val="0"/>
        </c:dLbls>
        <c:gapWidth val="95"/>
        <c:overlap val="1"/>
        <c:axId val="772949216"/>
        <c:axId val="772949544"/>
        <c:extLst>
          <c:ext xmlns:c15="http://schemas.microsoft.com/office/drawing/2012/chart" uri="{02D57815-91ED-43cb-92C2-25804820EDAC}">
            <c15:filteredBarSeries>
              <c15:ser>
                <c:idx val="2"/>
                <c:order val="2"/>
                <c:tx>
                  <c:strRef>
                    <c:extLst>
                      <c:ext uri="{02D57815-91ED-43cb-92C2-25804820EDAC}">
                        <c15:formulaRef>
                          <c15:sqref>'By Service'!$E$41</c15:sqref>
                        </c15:formulaRef>
                      </c:ext>
                    </c:extLst>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'By Service'!$B$42:$B$44</c15:sqref>
                        </c15:formulaRef>
                      </c:ext>
                    </c:extLst>
                    <c:strCache>
                      <c:ptCount val="3"/>
                      <c:pt idx="0">
                        <c:v>Occupational Therapy</c:v>
                      </c:pt>
                      <c:pt idx="1">
                        <c:v>Physiotherapy</c:v>
                      </c:pt>
                      <c:pt idx="2">
                        <c:v>Speech &amp; Language Therapy</c:v>
                      </c:pt>
                    </c:strCache>
                  </c:strRef>
                </c:cat>
                <c:val>
                  <c:numRef>
                    <c:extLst>
                      <c:ext uri="{02D57815-91ED-43cb-92C2-25804820EDAC}">
                        <c15:formulaRef>
                          <c15:sqref>'By Service'!$E$42:$E$44</c15:sqref>
                        </c15:formulaRef>
                      </c:ext>
                    </c:extLst>
                    <c:numCache>
                      <c:formatCode>General</c:formatCode>
                      <c:ptCount val="3"/>
                      <c:pt idx="0">
                        <c:v>87</c:v>
                      </c:pt>
                      <c:pt idx="1">
                        <c:v>77</c:v>
                      </c:pt>
                      <c:pt idx="2">
                        <c:v>296</c:v>
                      </c:pt>
                    </c:numCache>
                  </c:numRef>
                </c:val>
                <c:extLst>
                  <c:ext xmlns:c16="http://schemas.microsoft.com/office/drawing/2014/chart" uri="{C3380CC4-5D6E-409C-BE32-E72D297353CC}">
                    <c16:uniqueId val="{00000002-45E9-483B-B087-6E1784B27B19}"/>
                  </c:ext>
                </c:extLst>
              </c15:ser>
            </c15:filteredBarSeries>
          </c:ext>
        </c:extLst>
      </c:barChart>
      <c:catAx>
        <c:axId val="77294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72949544"/>
        <c:crosses val="autoZero"/>
        <c:auto val="1"/>
        <c:lblAlgn val="ctr"/>
        <c:lblOffset val="100"/>
        <c:noMultiLvlLbl val="0"/>
      </c:catAx>
      <c:valAx>
        <c:axId val="772949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Number of referrals</a:t>
                </a:r>
              </a:p>
            </c:rich>
          </c:tx>
          <c:layout>
            <c:manualLayout>
              <c:xMode val="edge"/>
              <c:yMode val="edge"/>
              <c:x val="3.8487643632929329E-2"/>
              <c:y val="0.3307351851851851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772949216"/>
        <c:crosses val="autoZero"/>
        <c:crossBetween val="between"/>
      </c:valAx>
      <c:spPr>
        <a:noFill/>
        <a:ln>
          <a:noFill/>
        </a:ln>
        <a:effectLst/>
      </c:spPr>
    </c:plotArea>
    <c:legend>
      <c:legendPos val="r"/>
      <c:layout>
        <c:manualLayout>
          <c:xMode val="edge"/>
          <c:yMode val="edge"/>
          <c:x val="0.20460061728395057"/>
          <c:y val="0.20215949074074077"/>
          <c:w val="0.1869523040176149"/>
          <c:h val="0.14987877248481771"/>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7451597670392"/>
          <c:y val="0.15313495370370372"/>
          <c:w val="0.75025499763891057"/>
          <c:h val="0.68757615740740741"/>
        </c:manualLayout>
      </c:layout>
      <c:barChart>
        <c:barDir val="col"/>
        <c:grouping val="clustered"/>
        <c:varyColors val="0"/>
        <c:ser>
          <c:idx val="1"/>
          <c:order val="0"/>
          <c:tx>
            <c:strRef>
              <c:f>Age!$M$36:$M$37</c:f>
              <c:strCache>
                <c:ptCount val="2"/>
                <c:pt idx="0">
                  <c:v>2017/18</c:v>
                </c:pt>
              </c:strCache>
            </c:strRef>
          </c:tx>
          <c:spPr>
            <a:solidFill>
              <a:schemeClr val="accent1"/>
            </a:solidFill>
            <a:ln>
              <a:noFill/>
            </a:ln>
            <a:effectLst/>
          </c:spPr>
          <c:invertIfNegative val="0"/>
          <c:cat>
            <c:strRef>
              <c:f>Age!$K$38:$K$44</c:f>
              <c:strCache>
                <c:ptCount val="7"/>
                <c:pt idx="0">
                  <c:v>Age 0</c:v>
                </c:pt>
                <c:pt idx="1">
                  <c:v>Age 1</c:v>
                </c:pt>
                <c:pt idx="2">
                  <c:v>Age 2</c:v>
                </c:pt>
                <c:pt idx="3">
                  <c:v>Age 3</c:v>
                </c:pt>
                <c:pt idx="4">
                  <c:v>Age 4</c:v>
                </c:pt>
                <c:pt idx="5">
                  <c:v>Age 5</c:v>
                </c:pt>
                <c:pt idx="6">
                  <c:v>ALL 0-5s</c:v>
                </c:pt>
              </c:strCache>
            </c:strRef>
          </c:cat>
          <c:val>
            <c:numRef>
              <c:f>Age!$L$38:$L$43</c:f>
              <c:numCache>
                <c:formatCode>General</c:formatCode>
                <c:ptCount val="6"/>
                <c:pt idx="0">
                  <c:v>149</c:v>
                </c:pt>
                <c:pt idx="1">
                  <c:v>101</c:v>
                </c:pt>
                <c:pt idx="2">
                  <c:v>242</c:v>
                </c:pt>
                <c:pt idx="3">
                  <c:v>257</c:v>
                </c:pt>
                <c:pt idx="4">
                  <c:v>243</c:v>
                </c:pt>
                <c:pt idx="5">
                  <c:v>158</c:v>
                </c:pt>
              </c:numCache>
            </c:numRef>
          </c:val>
          <c:extLst>
            <c:ext xmlns:c16="http://schemas.microsoft.com/office/drawing/2014/chart" uri="{C3380CC4-5D6E-409C-BE32-E72D297353CC}">
              <c16:uniqueId val="{00000000-C366-4A39-9F34-4A2BEA2FA08E}"/>
            </c:ext>
          </c:extLst>
        </c:ser>
        <c:ser>
          <c:idx val="3"/>
          <c:order val="1"/>
          <c:tx>
            <c:strRef>
              <c:f>Age!$O$36:$O$37</c:f>
              <c:strCache>
                <c:ptCount val="2"/>
                <c:pt idx="0">
                  <c:v>2018/19</c:v>
                </c:pt>
              </c:strCache>
            </c:strRef>
          </c:tx>
          <c:spPr>
            <a:solidFill>
              <a:srgbClr val="C00000"/>
            </a:solidFill>
            <a:ln>
              <a:noFill/>
            </a:ln>
            <a:effectLst/>
          </c:spPr>
          <c:invertIfNegative val="0"/>
          <c:cat>
            <c:strRef>
              <c:f>Age!$K$38:$K$44</c:f>
              <c:strCache>
                <c:ptCount val="7"/>
                <c:pt idx="0">
                  <c:v>Age 0</c:v>
                </c:pt>
                <c:pt idx="1">
                  <c:v>Age 1</c:v>
                </c:pt>
                <c:pt idx="2">
                  <c:v>Age 2</c:v>
                </c:pt>
                <c:pt idx="3">
                  <c:v>Age 3</c:v>
                </c:pt>
                <c:pt idx="4">
                  <c:v>Age 4</c:v>
                </c:pt>
                <c:pt idx="5">
                  <c:v>Age 5</c:v>
                </c:pt>
                <c:pt idx="6">
                  <c:v>ALL 0-5s</c:v>
                </c:pt>
              </c:strCache>
            </c:strRef>
          </c:cat>
          <c:val>
            <c:numRef>
              <c:f>Age!$N$38:$N$43</c:f>
              <c:numCache>
                <c:formatCode>General</c:formatCode>
                <c:ptCount val="6"/>
                <c:pt idx="0">
                  <c:v>179</c:v>
                </c:pt>
                <c:pt idx="1">
                  <c:v>155</c:v>
                </c:pt>
                <c:pt idx="2">
                  <c:v>282</c:v>
                </c:pt>
                <c:pt idx="3">
                  <c:v>255</c:v>
                </c:pt>
                <c:pt idx="4">
                  <c:v>223</c:v>
                </c:pt>
                <c:pt idx="5">
                  <c:v>158</c:v>
                </c:pt>
              </c:numCache>
            </c:numRef>
          </c:val>
          <c:extLst>
            <c:ext xmlns:c16="http://schemas.microsoft.com/office/drawing/2014/chart" uri="{C3380CC4-5D6E-409C-BE32-E72D297353CC}">
              <c16:uniqueId val="{00000001-C366-4A39-9F34-4A2BEA2FA08E}"/>
            </c:ext>
          </c:extLst>
        </c:ser>
        <c:dLbls>
          <c:showLegendKey val="0"/>
          <c:showVal val="0"/>
          <c:showCatName val="0"/>
          <c:showSerName val="0"/>
          <c:showPercent val="0"/>
          <c:showBubbleSize val="0"/>
        </c:dLbls>
        <c:gapWidth val="95"/>
        <c:overlap val="1"/>
        <c:axId val="772949216"/>
        <c:axId val="772949544"/>
        <c:extLst/>
      </c:barChart>
      <c:catAx>
        <c:axId val="77294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72949544"/>
        <c:crosses val="autoZero"/>
        <c:auto val="1"/>
        <c:lblAlgn val="ctr"/>
        <c:lblOffset val="100"/>
        <c:noMultiLvlLbl val="0"/>
      </c:catAx>
      <c:valAx>
        <c:axId val="772949544"/>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Number</a:t>
                </a:r>
              </a:p>
            </c:rich>
          </c:tx>
          <c:layout>
            <c:manualLayout>
              <c:xMode val="edge"/>
              <c:yMode val="edge"/>
              <c:x val="3.8487688959993778E-2"/>
              <c:y val="0.4150398609741515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772949216"/>
        <c:crosses val="autoZero"/>
        <c:crossBetween val="between"/>
      </c:valAx>
      <c:spPr>
        <a:noFill/>
        <a:ln>
          <a:noFill/>
        </a:ln>
        <a:effectLst/>
      </c:spPr>
    </c:plotArea>
    <c:legend>
      <c:legendPos val="r"/>
      <c:layout>
        <c:manualLayout>
          <c:xMode val="edge"/>
          <c:yMode val="edge"/>
          <c:x val="0.7708231782029733"/>
          <c:y val="0.19053129042979536"/>
          <c:w val="0.15233294806039152"/>
          <c:h val="0.11920981238285946"/>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15616493413964"/>
          <c:y val="0.15313495370370372"/>
          <c:w val="0.72937336719221002"/>
          <c:h val="0.68757615740740741"/>
        </c:manualLayout>
      </c:layout>
      <c:barChart>
        <c:barDir val="col"/>
        <c:grouping val="clustered"/>
        <c:varyColors val="0"/>
        <c:ser>
          <c:idx val="1"/>
          <c:order val="0"/>
          <c:tx>
            <c:strRef>
              <c:f>Ethnicity!$J$73</c:f>
              <c:strCache>
                <c:ptCount val="1"/>
                <c:pt idx="0">
                  <c:v>2017/18</c:v>
                </c:pt>
              </c:strCache>
            </c:strRef>
          </c:tx>
          <c:spPr>
            <a:solidFill>
              <a:schemeClr val="accent1"/>
            </a:solidFill>
            <a:ln>
              <a:noFill/>
            </a:ln>
            <a:effectLst/>
          </c:spPr>
          <c:invertIfNegative val="0"/>
          <c:cat>
            <c:strRef>
              <c:f>Ethnicity!$I$74:$I$79</c:f>
              <c:strCache>
                <c:ptCount val="6"/>
                <c:pt idx="0">
                  <c:v>White</c:v>
                </c:pt>
                <c:pt idx="1">
                  <c:v>Asian</c:v>
                </c:pt>
                <c:pt idx="2">
                  <c:v>Black</c:v>
                </c:pt>
                <c:pt idx="3">
                  <c:v>Mixed</c:v>
                </c:pt>
                <c:pt idx="4">
                  <c:v>Other</c:v>
                </c:pt>
                <c:pt idx="5">
                  <c:v>Not Known</c:v>
                </c:pt>
              </c:strCache>
            </c:strRef>
          </c:cat>
          <c:val>
            <c:numRef>
              <c:f>Ethnicity!$K$74:$K$79</c:f>
              <c:numCache>
                <c:formatCode>0.00</c:formatCode>
                <c:ptCount val="6"/>
                <c:pt idx="0">
                  <c:v>0.33652173913043476</c:v>
                </c:pt>
                <c:pt idx="1">
                  <c:v>0.28434782608695652</c:v>
                </c:pt>
                <c:pt idx="2">
                  <c:v>0.10086956521739131</c:v>
                </c:pt>
                <c:pt idx="3">
                  <c:v>0.12695652173913044</c:v>
                </c:pt>
                <c:pt idx="4">
                  <c:v>5.3043478260869567E-2</c:v>
                </c:pt>
                <c:pt idx="5">
                  <c:v>9.8260869565217387E-2</c:v>
                </c:pt>
              </c:numCache>
            </c:numRef>
          </c:val>
          <c:extLst>
            <c:ext xmlns:c16="http://schemas.microsoft.com/office/drawing/2014/chart" uri="{C3380CC4-5D6E-409C-BE32-E72D297353CC}">
              <c16:uniqueId val="{00000000-0705-4F2C-AD40-0B41044E5998}"/>
            </c:ext>
          </c:extLst>
        </c:ser>
        <c:ser>
          <c:idx val="3"/>
          <c:order val="1"/>
          <c:tx>
            <c:strRef>
              <c:f>Ethnicity!$L$73</c:f>
              <c:strCache>
                <c:ptCount val="1"/>
                <c:pt idx="0">
                  <c:v>2018/19</c:v>
                </c:pt>
              </c:strCache>
            </c:strRef>
          </c:tx>
          <c:spPr>
            <a:solidFill>
              <a:srgbClr val="C00000"/>
            </a:solidFill>
            <a:ln>
              <a:noFill/>
            </a:ln>
            <a:effectLst/>
          </c:spPr>
          <c:invertIfNegative val="0"/>
          <c:cat>
            <c:strRef>
              <c:f>Ethnicity!$I$74:$I$79</c:f>
              <c:strCache>
                <c:ptCount val="6"/>
                <c:pt idx="0">
                  <c:v>White</c:v>
                </c:pt>
                <c:pt idx="1">
                  <c:v>Asian</c:v>
                </c:pt>
                <c:pt idx="2">
                  <c:v>Black</c:v>
                </c:pt>
                <c:pt idx="3">
                  <c:v>Mixed</c:v>
                </c:pt>
                <c:pt idx="4">
                  <c:v>Other</c:v>
                </c:pt>
                <c:pt idx="5">
                  <c:v>Not Known</c:v>
                </c:pt>
              </c:strCache>
            </c:strRef>
          </c:cat>
          <c:val>
            <c:numRef>
              <c:f>Ethnicity!$M$74:$M$79</c:f>
              <c:numCache>
                <c:formatCode>0.00</c:formatCode>
                <c:ptCount val="6"/>
                <c:pt idx="0">
                  <c:v>0.35063897763578272</c:v>
                </c:pt>
                <c:pt idx="1">
                  <c:v>0.26916932907348246</c:v>
                </c:pt>
                <c:pt idx="2">
                  <c:v>0.10463258785942492</c:v>
                </c:pt>
                <c:pt idx="3">
                  <c:v>0.12779552715654952</c:v>
                </c:pt>
                <c:pt idx="4">
                  <c:v>5.830670926517572E-2</c:v>
                </c:pt>
                <c:pt idx="5">
                  <c:v>8.9456869009584661E-2</c:v>
                </c:pt>
              </c:numCache>
            </c:numRef>
          </c:val>
          <c:extLst>
            <c:ext xmlns:c16="http://schemas.microsoft.com/office/drawing/2014/chart" uri="{C3380CC4-5D6E-409C-BE32-E72D297353CC}">
              <c16:uniqueId val="{00000001-0705-4F2C-AD40-0B41044E5998}"/>
            </c:ext>
          </c:extLst>
        </c:ser>
        <c:dLbls>
          <c:showLegendKey val="0"/>
          <c:showVal val="0"/>
          <c:showCatName val="0"/>
          <c:showSerName val="0"/>
          <c:showPercent val="0"/>
          <c:showBubbleSize val="0"/>
        </c:dLbls>
        <c:gapWidth val="95"/>
        <c:overlap val="1"/>
        <c:axId val="772949216"/>
        <c:axId val="772949544"/>
        <c:extLst/>
      </c:barChart>
      <c:catAx>
        <c:axId val="77294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72949544"/>
        <c:crosses val="autoZero"/>
        <c:auto val="1"/>
        <c:lblAlgn val="ctr"/>
        <c:lblOffset val="100"/>
        <c:noMultiLvlLbl val="0"/>
      </c:catAx>
      <c:valAx>
        <c:axId val="772949544"/>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 of referrals</a:t>
                </a:r>
              </a:p>
            </c:rich>
          </c:tx>
          <c:layout>
            <c:manualLayout>
              <c:xMode val="edge"/>
              <c:yMode val="edge"/>
              <c:x val="2.8518981282848656E-2"/>
              <c:y val="0.4150398609741515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772949216"/>
        <c:crosses val="autoZero"/>
        <c:crossBetween val="between"/>
      </c:valAx>
      <c:spPr>
        <a:noFill/>
        <a:ln>
          <a:noFill/>
        </a:ln>
        <a:effectLst/>
      </c:spPr>
    </c:plotArea>
    <c:legend>
      <c:legendPos val="r"/>
      <c:layout>
        <c:manualLayout>
          <c:xMode val="edge"/>
          <c:yMode val="edge"/>
          <c:x val="0.72297338135267675"/>
          <c:y val="0.19053129042979536"/>
          <c:w val="0.16807256842418905"/>
          <c:h val="0.11920981238285946"/>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2137618425488"/>
          <c:y val="0.15313495370370372"/>
          <c:w val="0.64010809528858081"/>
          <c:h val="0.68757615740740741"/>
        </c:manualLayout>
      </c:layout>
      <c:barChart>
        <c:barDir val="bar"/>
        <c:grouping val="clustered"/>
        <c:varyColors val="0"/>
        <c:ser>
          <c:idx val="1"/>
          <c:order val="0"/>
          <c:tx>
            <c:strRef>
              <c:f>'Referral Source'!$D$62</c:f>
              <c:strCache>
                <c:ptCount val="1"/>
                <c:pt idx="0">
                  <c:v>2017/18</c:v>
                </c:pt>
              </c:strCache>
            </c:strRef>
          </c:tx>
          <c:spPr>
            <a:solidFill>
              <a:schemeClr val="accent1"/>
            </a:solidFill>
            <a:ln>
              <a:noFill/>
            </a:ln>
            <a:effectLst/>
          </c:spPr>
          <c:invertIfNegative val="0"/>
          <c:cat>
            <c:strRef>
              <c:f>'Referral Source'!$C$73:$C$81</c:f>
              <c:strCache>
                <c:ptCount val="9"/>
                <c:pt idx="0">
                  <c:v>Educational Establishment</c:v>
                </c:pt>
                <c:pt idx="1">
                  <c:v>GP</c:v>
                </c:pt>
                <c:pt idx="2">
                  <c:v>Other</c:v>
                </c:pt>
                <c:pt idx="3">
                  <c:v>Physiotherapy &amp;
Occupational Therapy</c:v>
                </c:pt>
                <c:pt idx="4">
                  <c:v>School</c:v>
                </c:pt>
                <c:pt idx="5">
                  <c:v>Health Visiting Service</c:v>
                </c:pt>
                <c:pt idx="6">
                  <c:v>Speech &amp; Language Therapy</c:v>
                </c:pt>
                <c:pt idx="7">
                  <c:v>Hospital/Consultant Referral</c:v>
                </c:pt>
                <c:pt idx="8">
                  <c:v>Self Referral</c:v>
                </c:pt>
              </c:strCache>
            </c:strRef>
          </c:cat>
          <c:val>
            <c:numRef>
              <c:f>'Referral Source'!$D$73:$D$81</c:f>
              <c:numCache>
                <c:formatCode>General</c:formatCode>
                <c:ptCount val="9"/>
                <c:pt idx="0">
                  <c:v>21</c:v>
                </c:pt>
                <c:pt idx="1">
                  <c:v>9</c:v>
                </c:pt>
                <c:pt idx="2">
                  <c:v>35</c:v>
                </c:pt>
                <c:pt idx="3">
                  <c:v>44</c:v>
                </c:pt>
                <c:pt idx="4">
                  <c:v>42</c:v>
                </c:pt>
                <c:pt idx="5">
                  <c:v>47</c:v>
                </c:pt>
                <c:pt idx="6">
                  <c:v>117</c:v>
                </c:pt>
                <c:pt idx="7">
                  <c:v>144</c:v>
                </c:pt>
                <c:pt idx="8">
                  <c:v>677</c:v>
                </c:pt>
              </c:numCache>
            </c:numRef>
          </c:val>
          <c:extLst>
            <c:ext xmlns:c16="http://schemas.microsoft.com/office/drawing/2014/chart" uri="{C3380CC4-5D6E-409C-BE32-E72D297353CC}">
              <c16:uniqueId val="{00000000-2D30-4258-9D71-997DEB3C504A}"/>
            </c:ext>
          </c:extLst>
        </c:ser>
        <c:ser>
          <c:idx val="3"/>
          <c:order val="1"/>
          <c:tx>
            <c:strRef>
              <c:f>'Referral Source'!$E$62</c:f>
              <c:strCache>
                <c:ptCount val="1"/>
                <c:pt idx="0">
                  <c:v>2018/19</c:v>
                </c:pt>
              </c:strCache>
            </c:strRef>
          </c:tx>
          <c:spPr>
            <a:solidFill>
              <a:srgbClr val="C00000"/>
            </a:solidFill>
            <a:ln>
              <a:noFill/>
            </a:ln>
            <a:effectLst/>
          </c:spPr>
          <c:invertIfNegative val="0"/>
          <c:cat>
            <c:strRef>
              <c:f>'Referral Source'!$C$73:$C$81</c:f>
              <c:strCache>
                <c:ptCount val="9"/>
                <c:pt idx="0">
                  <c:v>Educational Establishment</c:v>
                </c:pt>
                <c:pt idx="1">
                  <c:v>GP</c:v>
                </c:pt>
                <c:pt idx="2">
                  <c:v>Other</c:v>
                </c:pt>
                <c:pt idx="3">
                  <c:v>Physiotherapy &amp;
Occupational Therapy</c:v>
                </c:pt>
                <c:pt idx="4">
                  <c:v>School</c:v>
                </c:pt>
                <c:pt idx="5">
                  <c:v>Health Visiting Service</c:v>
                </c:pt>
                <c:pt idx="6">
                  <c:v>Speech &amp; Language Therapy</c:v>
                </c:pt>
                <c:pt idx="7">
                  <c:v>Hospital/Consultant Referral</c:v>
                </c:pt>
                <c:pt idx="8">
                  <c:v>Self Referral</c:v>
                </c:pt>
              </c:strCache>
            </c:strRef>
          </c:cat>
          <c:val>
            <c:numRef>
              <c:f>'Referral Source'!$E$73:$E$81</c:f>
              <c:numCache>
                <c:formatCode>General</c:formatCode>
                <c:ptCount val="9"/>
                <c:pt idx="0">
                  <c:v>12</c:v>
                </c:pt>
                <c:pt idx="1">
                  <c:v>13</c:v>
                </c:pt>
                <c:pt idx="2">
                  <c:v>35</c:v>
                </c:pt>
                <c:pt idx="3">
                  <c:v>38</c:v>
                </c:pt>
                <c:pt idx="4">
                  <c:v>39</c:v>
                </c:pt>
                <c:pt idx="5">
                  <c:v>57</c:v>
                </c:pt>
                <c:pt idx="6">
                  <c:v>97</c:v>
                </c:pt>
                <c:pt idx="7">
                  <c:v>205</c:v>
                </c:pt>
                <c:pt idx="8">
                  <c:v>740</c:v>
                </c:pt>
              </c:numCache>
            </c:numRef>
          </c:val>
          <c:extLst>
            <c:ext xmlns:c16="http://schemas.microsoft.com/office/drawing/2014/chart" uri="{C3380CC4-5D6E-409C-BE32-E72D297353CC}">
              <c16:uniqueId val="{00000001-2D30-4258-9D71-997DEB3C504A}"/>
            </c:ext>
          </c:extLst>
        </c:ser>
        <c:dLbls>
          <c:showLegendKey val="0"/>
          <c:showVal val="0"/>
          <c:showCatName val="0"/>
          <c:showSerName val="0"/>
          <c:showPercent val="0"/>
          <c:showBubbleSize val="0"/>
        </c:dLbls>
        <c:gapWidth val="95"/>
        <c:axId val="772949216"/>
        <c:axId val="772949544"/>
        <c:extLst/>
      </c:barChart>
      <c:catAx>
        <c:axId val="772949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949544"/>
        <c:crosses val="autoZero"/>
        <c:auto val="1"/>
        <c:lblAlgn val="ctr"/>
        <c:lblOffset val="100"/>
        <c:noMultiLvlLbl val="0"/>
      </c:catAx>
      <c:valAx>
        <c:axId val="772949544"/>
        <c:scaling>
          <c:orientation val="minMax"/>
          <c:max val="75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772949216"/>
        <c:crosses val="autoZero"/>
        <c:crossBetween val="between"/>
        <c:majorUnit val="100"/>
      </c:valAx>
      <c:spPr>
        <a:noFill/>
        <a:ln>
          <a:noFill/>
        </a:ln>
        <a:effectLst/>
      </c:spPr>
    </c:plotArea>
    <c:legend>
      <c:legendPos val="r"/>
      <c:layout>
        <c:manualLayout>
          <c:xMode val="edge"/>
          <c:yMode val="edge"/>
          <c:x val="0.68715738909085144"/>
          <c:y val="0.6265893802344138"/>
          <c:w val="0.15218397943997303"/>
          <c:h val="0.11920981238285946"/>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a:t>Percentage point difference between boys and girls.</a:t>
            </a:r>
          </a:p>
        </c:rich>
      </c:tx>
      <c:layout>
        <c:manualLayout>
          <c:xMode val="edge"/>
          <c:yMode val="edge"/>
          <c:x val="0.16460539050976117"/>
          <c:y val="1.658890346041913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5487841861994628"/>
          <c:y val="0.1513917945249765"/>
          <c:w val="0.7033010577854103"/>
          <c:h val="0.6928543028393277"/>
        </c:manualLayout>
      </c:layout>
      <c:barChart>
        <c:barDir val="col"/>
        <c:grouping val="clustered"/>
        <c:varyColors val="0"/>
        <c:ser>
          <c:idx val="0"/>
          <c:order val="0"/>
          <c:tx>
            <c:strRef>
              <c:f>'Overall-OK-2019 Data'!$B$9</c:f>
              <c:strCache>
                <c:ptCount val="1"/>
                <c:pt idx="0">
                  <c:v>All</c:v>
                </c:pt>
              </c:strCache>
            </c:strRef>
          </c:tx>
          <c:spPr>
            <a:solidFill>
              <a:schemeClr val="bg1">
                <a:lumMod val="75000"/>
              </a:schemeClr>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'Overall-OK-2019 Data'!$C$8:$G$8</c:f>
              <c:strCache>
                <c:ptCount val="5"/>
                <c:pt idx="0">
                  <c:v>SANDWELL</c:v>
                </c:pt>
                <c:pt idx="2">
                  <c:v>ENGLAND</c:v>
                </c:pt>
                <c:pt idx="4">
                  <c:v>WEST MIDLANDS</c:v>
                </c:pt>
              </c:strCache>
            </c:strRef>
          </c:cat>
          <c:val>
            <c:numRef>
              <c:f>'Overall-OK-2019 Data'!$C$9:$G$9</c:f>
              <c:numCache>
                <c:formatCode>General</c:formatCode>
                <c:ptCount val="5"/>
                <c:pt idx="0" formatCode="0.0">
                  <c:v>66.8</c:v>
                </c:pt>
                <c:pt idx="2" formatCode="0.0">
                  <c:v>71.8</c:v>
                </c:pt>
                <c:pt idx="4" formatCode="0.0">
                  <c:v>70.099999999999994</c:v>
                </c:pt>
              </c:numCache>
            </c:numRef>
          </c:val>
          <c:extLst>
            <c:ext xmlns:c16="http://schemas.microsoft.com/office/drawing/2014/chart" uri="{C3380CC4-5D6E-409C-BE32-E72D297353CC}">
              <c16:uniqueId val="{00000000-8F39-4CFD-A004-099967EDC33B}"/>
            </c:ext>
          </c:extLst>
        </c:ser>
        <c:ser>
          <c:idx val="1"/>
          <c:order val="1"/>
          <c:tx>
            <c:strRef>
              <c:f>'Overall-OK-2019 Data'!$B$10</c:f>
              <c:strCache>
                <c:ptCount val="1"/>
                <c:pt idx="0">
                  <c:v>Girls</c:v>
                </c:pt>
              </c:strCache>
            </c:strRef>
          </c:tx>
          <c:spPr>
            <a:solidFill>
              <a:srgbClr val="FF99CC"/>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'Overall-OK-2019 Data'!$C$8:$G$8</c:f>
              <c:strCache>
                <c:ptCount val="5"/>
                <c:pt idx="0">
                  <c:v>SANDWELL</c:v>
                </c:pt>
                <c:pt idx="2">
                  <c:v>ENGLAND</c:v>
                </c:pt>
                <c:pt idx="4">
                  <c:v>WEST MIDLANDS</c:v>
                </c:pt>
              </c:strCache>
            </c:strRef>
          </c:cat>
          <c:val>
            <c:numRef>
              <c:f>'Overall-OK-2019 Data'!$C$10:$G$10</c:f>
              <c:numCache>
                <c:formatCode>General</c:formatCode>
                <c:ptCount val="5"/>
                <c:pt idx="0" formatCode="0.0">
                  <c:v>73</c:v>
                </c:pt>
                <c:pt idx="2" formatCode="0.0">
                  <c:v>78.400000000000006</c:v>
                </c:pt>
                <c:pt idx="4" formatCode="0.0">
                  <c:v>76.7</c:v>
                </c:pt>
              </c:numCache>
            </c:numRef>
          </c:val>
          <c:extLst>
            <c:ext xmlns:c16="http://schemas.microsoft.com/office/drawing/2014/chart" uri="{C3380CC4-5D6E-409C-BE32-E72D297353CC}">
              <c16:uniqueId val="{00000001-8F39-4CFD-A004-099967EDC33B}"/>
            </c:ext>
          </c:extLst>
        </c:ser>
        <c:ser>
          <c:idx val="2"/>
          <c:order val="2"/>
          <c:tx>
            <c:strRef>
              <c:f>'Overall-OK-2019 Data'!$B$11</c:f>
              <c:strCache>
                <c:ptCount val="1"/>
                <c:pt idx="0">
                  <c:v>Boys</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1"/>
            <c:plus>
              <c:numRef>
                <c:f>'Overall-OK-2019 Data'!$C$14:$G$14</c:f>
                <c:numCache>
                  <c:formatCode>General</c:formatCode>
                  <c:ptCount val="5"/>
                  <c:pt idx="0">
                    <c:v>12.399999999999999</c:v>
                  </c:pt>
                  <c:pt idx="2">
                    <c:v>12.900000000000006</c:v>
                  </c:pt>
                  <c:pt idx="4">
                    <c:v>12.900000000000006</c:v>
                  </c:pt>
                </c:numCache>
              </c:numRef>
            </c:plus>
            <c:minus>
              <c:numRef>
                <c:f>'Overall-OK-2019 Data'!$C$13:$G$13</c:f>
                <c:numCache>
                  <c:formatCode>General</c:formatCode>
                  <c:ptCount val="5"/>
                  <c:pt idx="0">
                    <c:v>-0.124</c:v>
                  </c:pt>
                  <c:pt idx="2">
                    <c:v>-0.129</c:v>
                  </c:pt>
                  <c:pt idx="4">
                    <c:v>-0.129</c:v>
                  </c:pt>
                </c:numCache>
              </c:numRef>
            </c:minus>
            <c:spPr>
              <a:noFill/>
              <a:ln w="9525" cap="flat" cmpd="sng" algn="ctr">
                <a:solidFill>
                  <a:srgbClr val="FF0000"/>
                </a:solidFill>
                <a:prstDash val="dash"/>
                <a:round/>
              </a:ln>
              <a:effectLst/>
            </c:spPr>
          </c:errBars>
          <c:cat>
            <c:strRef>
              <c:f>'Overall-OK-2019 Data'!$C$8:$G$8</c:f>
              <c:strCache>
                <c:ptCount val="5"/>
                <c:pt idx="0">
                  <c:v>SANDWELL</c:v>
                </c:pt>
                <c:pt idx="2">
                  <c:v>ENGLAND</c:v>
                </c:pt>
                <c:pt idx="4">
                  <c:v>WEST MIDLANDS</c:v>
                </c:pt>
              </c:strCache>
            </c:strRef>
          </c:cat>
          <c:val>
            <c:numRef>
              <c:f>'Overall-OK-2019 Data'!$C$11:$G$11</c:f>
              <c:numCache>
                <c:formatCode>General</c:formatCode>
                <c:ptCount val="5"/>
                <c:pt idx="0" formatCode="0.0">
                  <c:v>60.6</c:v>
                </c:pt>
                <c:pt idx="2" formatCode="0.0">
                  <c:v>65.5</c:v>
                </c:pt>
                <c:pt idx="4" formatCode="0.0">
                  <c:v>63.8</c:v>
                </c:pt>
              </c:numCache>
            </c:numRef>
          </c:val>
          <c:extLst>
            <c:ext xmlns:c16="http://schemas.microsoft.com/office/drawing/2014/chart" uri="{C3380CC4-5D6E-409C-BE32-E72D297353CC}">
              <c16:uniqueId val="{00000002-8F39-4CFD-A004-099967EDC33B}"/>
            </c:ext>
          </c:extLst>
        </c:ser>
        <c:ser>
          <c:idx val="3"/>
          <c:order val="3"/>
          <c:tx>
            <c:strRef>
              <c:f>'Overall-OK-2019 Data'!$B$12</c:f>
              <c:strCache>
                <c:ptCount val="1"/>
              </c:strCache>
            </c:strRef>
          </c:tx>
          <c:spPr>
            <a:solidFill>
              <a:sysClr val="window" lastClr="FFFFFF"/>
            </a:solidFill>
            <a:ln>
              <a:noFill/>
            </a:ln>
            <a:effectLst/>
          </c:spPr>
          <c:invertIfNegative val="0"/>
          <c:dLbls>
            <c:dLbl>
              <c:idx val="0"/>
              <c:layout>
                <c:manualLayout>
                  <c:x val="-2.3617820719269995E-2"/>
                  <c:y val="-3.3177806920838278E-2"/>
                </c:manualLayout>
              </c:layout>
              <c:tx>
                <c:rich>
                  <a:bodyPr/>
                  <a:lstStyle/>
                  <a:p>
                    <a:fld id="{7610363A-F5B3-46BC-900B-92FDF3DFF94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F39-4CFD-A004-099967EDC33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F39-4CFD-A004-099967EDC33B}"/>
                </c:ext>
              </c:extLst>
            </c:dLbl>
            <c:dLbl>
              <c:idx val="2"/>
              <c:layout>
                <c:manualLayout>
                  <c:x val="-1.932367149758462E-2"/>
                  <c:y val="-2.4883355190628783E-2"/>
                </c:manualLayout>
              </c:layout>
              <c:tx>
                <c:rich>
                  <a:bodyPr/>
                  <a:lstStyle/>
                  <a:p>
                    <a:fld id="{B0E43478-C3BD-499B-B0F8-915B1D9F218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F39-4CFD-A004-099967EDC33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F39-4CFD-A004-099967EDC33B}"/>
                </c:ext>
              </c:extLst>
            </c:dLbl>
            <c:dLbl>
              <c:idx val="4"/>
              <c:layout>
                <c:manualLayout>
                  <c:x val="-2.3617820719270152E-2"/>
                  <c:y val="-4.9766710381257413E-2"/>
                </c:manualLayout>
              </c:layout>
              <c:tx>
                <c:rich>
                  <a:bodyPr/>
                  <a:lstStyle/>
                  <a:p>
                    <a:fld id="{91BDC363-EACB-40B3-BAFA-FAFDFF90D3B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F39-4CFD-A004-099967EDC33B}"/>
                </c:ext>
              </c:extLst>
            </c:dLbl>
            <c:numFmt formatCode="#,##0.0" sourceLinked="0"/>
            <c:spPr>
              <a:noFill/>
              <a:ln>
                <a:noFill/>
              </a:ln>
              <a:effectLst/>
            </c:spPr>
            <c:txPr>
              <a:bodyPr rot="-5400000" spcFirstLastPara="1" vertOverflow="ellipsis" wrap="square" anchor="ctr" anchorCtr="1"/>
              <a:lstStyle/>
              <a:p>
                <a:pPr>
                  <a:defRPr sz="1100" b="0" i="0" u="none" strike="noStrike" kern="1200" baseline="0">
                    <a:solidFill>
                      <a:srgbClr val="FF0000"/>
                    </a:solidFill>
                    <a:latin typeface="+mj-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'Overall-OK-2019 Data'!$C$8:$G$8</c:f>
              <c:strCache>
                <c:ptCount val="5"/>
                <c:pt idx="0">
                  <c:v>SANDWELL</c:v>
                </c:pt>
                <c:pt idx="2">
                  <c:v>ENGLAND</c:v>
                </c:pt>
                <c:pt idx="4">
                  <c:v>WEST MIDLANDS</c:v>
                </c:pt>
              </c:strCache>
            </c:strRef>
          </c:cat>
          <c:val>
            <c:numRef>
              <c:f>'Overall-OK-2019 Data'!$C$12:$G$12</c:f>
              <c:numCache>
                <c:formatCode>General</c:formatCode>
                <c:ptCount val="5"/>
                <c:pt idx="0" formatCode="0.0">
                  <c:v>60.6</c:v>
                </c:pt>
                <c:pt idx="2" formatCode="0.0">
                  <c:v>65</c:v>
                </c:pt>
                <c:pt idx="4" formatCode="0.0">
                  <c:v>64</c:v>
                </c:pt>
              </c:numCache>
            </c:numRef>
          </c:val>
          <c:extLst>
            <c:ext xmlns:c15="http://schemas.microsoft.com/office/drawing/2012/chart" uri="{02D57815-91ED-43cb-92C2-25804820EDAC}">
              <c15:datalabelsRange>
                <c15:f>'Overall-OK-2019 Data'!$C$15:$G$15</c15:f>
                <c15:dlblRangeCache>
                  <c:ptCount val="5"/>
                  <c:pt idx="0">
                    <c:v>12%</c:v>
                  </c:pt>
                  <c:pt idx="2">
                    <c:v>13%</c:v>
                  </c:pt>
                  <c:pt idx="4">
                    <c:v>13%</c:v>
                  </c:pt>
                </c15:dlblRangeCache>
              </c15:datalabelsRange>
            </c:ext>
            <c:ext xmlns:c16="http://schemas.microsoft.com/office/drawing/2014/chart" uri="{C3380CC4-5D6E-409C-BE32-E72D297353CC}">
              <c16:uniqueId val="{00000008-8F39-4CFD-A004-099967EDC33B}"/>
            </c:ext>
          </c:extLst>
        </c:ser>
        <c:dLbls>
          <c:showLegendKey val="0"/>
          <c:showVal val="0"/>
          <c:showCatName val="0"/>
          <c:showSerName val="0"/>
          <c:showPercent val="0"/>
          <c:showBubbleSize val="0"/>
        </c:dLbls>
        <c:gapWidth val="0"/>
        <c:axId val="644493704"/>
        <c:axId val="668804440"/>
      </c:barChart>
      <c:catAx>
        <c:axId val="64449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668804440"/>
        <c:crosses val="autoZero"/>
        <c:auto val="1"/>
        <c:lblAlgn val="ctr"/>
        <c:lblOffset val="100"/>
        <c:noMultiLvlLbl val="0"/>
      </c:catAx>
      <c:valAx>
        <c:axId val="668804440"/>
        <c:scaling>
          <c:orientation val="minMax"/>
          <c:min val="4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t>% achieving a good level of development</a:t>
                </a:r>
              </a:p>
            </c:rich>
          </c:tx>
          <c:layout>
            <c:manualLayout>
              <c:xMode val="edge"/>
              <c:yMode val="edge"/>
              <c:x val="3.1765884336921651E-2"/>
              <c:y val="0.194919615659924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644493704"/>
        <c:crosses val="autoZero"/>
        <c:crossBetween val="between"/>
      </c:valAx>
      <c:spPr>
        <a:noFill/>
        <a:ln>
          <a:solidFill>
            <a:schemeClr val="bg1">
              <a:lumMod val="95000"/>
            </a:schemeClr>
          </a:solidFill>
        </a:ln>
        <a:effectLst/>
      </c:spPr>
    </c:plotArea>
    <c:legend>
      <c:legendPos val="b"/>
      <c:layout>
        <c:manualLayout>
          <c:xMode val="edge"/>
          <c:yMode val="edge"/>
          <c:x val="0.84342906412060814"/>
          <c:y val="0.38258125950269861"/>
          <c:w val="0.10755930870959973"/>
          <c:h val="0.303973695485205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GB" sz="1200" b="1" i="0" baseline="0">
                <a:effectLst/>
              </a:rPr>
              <a:t> </a:t>
            </a:r>
            <a:endParaRPr lang="en-GB" sz="1200" b="1">
              <a:effectLst/>
            </a:endParaRPr>
          </a:p>
        </c:rich>
      </c:tx>
      <c:layout>
        <c:manualLayout>
          <c:xMode val="edge"/>
          <c:yMode val="edge"/>
          <c:x val="0.15157480314960631"/>
          <c:y val="2.725724020442930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1293519502722714E-2"/>
          <c:y val="9.0537018678339243E-2"/>
          <c:w val="0.88467852068950092"/>
          <c:h val="0.79056519752201371"/>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097-4909-95B5-AFD3526CF28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097-4909-95B5-AFD3526CF28B}"/>
              </c:ext>
            </c:extLst>
          </c:dPt>
          <c:dPt>
            <c:idx val="3"/>
            <c:invertIfNegative val="0"/>
            <c:bubble3D val="0"/>
            <c:spPr>
              <a:solidFill>
                <a:srgbClr val="FF0000"/>
              </a:solidFill>
              <a:ln>
                <a:noFill/>
              </a:ln>
              <a:effectLst/>
            </c:spPr>
            <c:extLst>
              <c:ext xmlns:c16="http://schemas.microsoft.com/office/drawing/2014/chart" uri="{C3380CC4-5D6E-409C-BE32-E72D297353CC}">
                <c16:uniqueId val="{00000005-C097-4909-95B5-AFD3526CF28B}"/>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C097-4909-95B5-AFD3526CF28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'Language Chart'!$D$5:$L$5</c:f>
                <c:numCache>
                  <c:formatCode>General</c:formatCode>
                  <c:ptCount val="9"/>
                  <c:pt idx="0">
                    <c:v>1.1028830098669715</c:v>
                  </c:pt>
                  <c:pt idx="1">
                    <c:v>0.26257297295941839</c:v>
                  </c:pt>
                  <c:pt idx="2">
                    <c:v>8.5991515865643464E-2</c:v>
                  </c:pt>
                  <c:pt idx="3">
                    <c:v>1.7290752522111745</c:v>
                  </c:pt>
                  <c:pt idx="4">
                    <c:v>0.54401083690628838</c:v>
                  </c:pt>
                  <c:pt idx="5">
                    <c:v>0.18377349018889788</c:v>
                  </c:pt>
                  <c:pt idx="6">
                    <c:v>0.93310575734523127</c:v>
                  </c:pt>
                  <c:pt idx="7">
                    <c:v>0.23622613064443954</c:v>
                  </c:pt>
                  <c:pt idx="8">
                    <c:v>7.7653705420033248E-2</c:v>
                  </c:pt>
                </c:numCache>
              </c:numRef>
            </c:plus>
            <c:minus>
              <c:numRef>
                <c:f>'Language Chart'!$D$4:$L$4</c:f>
                <c:numCache>
                  <c:formatCode>General</c:formatCode>
                  <c:ptCount val="9"/>
                  <c:pt idx="0">
                    <c:v>1.1250128760922138</c:v>
                  </c:pt>
                  <c:pt idx="1">
                    <c:v>0.26409787706434429</c:v>
                  </c:pt>
                  <c:pt idx="2">
                    <c:v>8.6169634744948098E-2</c:v>
                  </c:pt>
                  <c:pt idx="3">
                    <c:v>1.7636003972210403</c:v>
                  </c:pt>
                  <c:pt idx="4">
                    <c:v>0.54751507425834234</c:v>
                  </c:pt>
                  <c:pt idx="5">
                    <c:v>0.18428277591881681</c:v>
                  </c:pt>
                  <c:pt idx="6">
                    <c:v>0.94623036274940375</c:v>
                  </c:pt>
                  <c:pt idx="7">
                    <c:v>0.23729029691139658</c:v>
                  </c:pt>
                  <c:pt idx="8">
                    <c:v>7.7782642180750372E-2</c:v>
                  </c:pt>
                </c:numCache>
              </c:numRef>
            </c:minus>
            <c:spPr>
              <a:noFill/>
              <a:ln w="9525" cap="flat" cmpd="sng" algn="ctr">
                <a:solidFill>
                  <a:schemeClr val="tx1"/>
                </a:solidFill>
                <a:round/>
              </a:ln>
              <a:effectLst/>
            </c:spPr>
          </c:errBars>
          <c:cat>
            <c:multiLvlStrRef>
              <c:f>'Language Chart'!$D$1:$I$2</c:f>
              <c:multiLvlStrCache>
                <c:ptCount val="6"/>
                <c:lvl>
                  <c:pt idx="0">
                    <c:v>Sandwell</c:v>
                  </c:pt>
                  <c:pt idx="1">
                    <c:v>West Midlands</c:v>
                  </c:pt>
                  <c:pt idx="2">
                    <c:v>England</c:v>
                  </c:pt>
                  <c:pt idx="3">
                    <c:v>Sandwell</c:v>
                  </c:pt>
                  <c:pt idx="4">
                    <c:v>West Midlands</c:v>
                  </c:pt>
                  <c:pt idx="5">
                    <c:v>England</c:v>
                  </c:pt>
                </c:lvl>
                <c:lvl>
                  <c:pt idx="0">
                    <c:v>English</c:v>
                  </c:pt>
                  <c:pt idx="3">
                    <c:v>Other Language</c:v>
                  </c:pt>
                </c:lvl>
              </c:multiLvlStrCache>
            </c:multiLvlStrRef>
          </c:cat>
          <c:val>
            <c:numRef>
              <c:f>'Language Chart'!$D$3:$I$3</c:f>
              <c:numCache>
                <c:formatCode>0.0</c:formatCode>
                <c:ptCount val="6"/>
                <c:pt idx="0">
                  <c:v>69.056261343012707</c:v>
                </c:pt>
                <c:pt idx="1">
                  <c:v>72.111811278074001</c:v>
                </c:pt>
                <c:pt idx="2">
                  <c:v>73.442528269568157</c:v>
                </c:pt>
                <c:pt idx="3">
                  <c:v>63.170481721899549</c:v>
                </c:pt>
                <c:pt idx="4">
                  <c:v>63.615652640042889</c:v>
                </c:pt>
                <c:pt idx="5">
                  <c:v>66.70053783714053</c:v>
                </c:pt>
              </c:numCache>
            </c:numRef>
          </c:val>
          <c:extLst>
            <c:ext xmlns:c16="http://schemas.microsoft.com/office/drawing/2014/chart" uri="{C3380CC4-5D6E-409C-BE32-E72D297353CC}">
              <c16:uniqueId val="{00000008-C097-4909-95B5-AFD3526CF28B}"/>
            </c:ext>
          </c:extLst>
        </c:ser>
        <c:dLbls>
          <c:showLegendKey val="0"/>
          <c:showVal val="0"/>
          <c:showCatName val="0"/>
          <c:showSerName val="0"/>
          <c:showPercent val="0"/>
          <c:showBubbleSize val="0"/>
        </c:dLbls>
        <c:gapWidth val="29"/>
        <c:axId val="173339776"/>
        <c:axId val="173341312"/>
      </c:barChart>
      <c:catAx>
        <c:axId val="17333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41312"/>
        <c:crosses val="autoZero"/>
        <c:auto val="1"/>
        <c:lblAlgn val="ctr"/>
        <c:lblOffset val="100"/>
        <c:noMultiLvlLbl val="0"/>
      </c:catAx>
      <c:valAx>
        <c:axId val="173341312"/>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3977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sz="1200" b="1" i="0" baseline="0">
                <a:effectLst/>
              </a:rPr>
              <a:t> </a:t>
            </a:r>
            <a:endParaRPr lang="en-GB" sz="1200" b="1">
              <a:effectLst/>
            </a:endParaRPr>
          </a:p>
        </c:rich>
      </c:tx>
      <c:layout>
        <c:manualLayout>
          <c:xMode val="edge"/>
          <c:yMode val="edge"/>
          <c:x val="0.15157480314960631"/>
          <c:y val="2.72572402044293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1293519502722714E-2"/>
          <c:y val="8.2455679492222655E-2"/>
          <c:w val="0.76601554669970395"/>
          <c:h val="0.79864654936761181"/>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C0D-4CC7-9663-95D630BBC6E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C0D-4CC7-9663-95D630BBC6EC}"/>
              </c:ext>
            </c:extLst>
          </c:dPt>
          <c:dPt>
            <c:idx val="3"/>
            <c:invertIfNegative val="0"/>
            <c:bubble3D val="0"/>
            <c:spPr>
              <a:solidFill>
                <a:srgbClr val="FF0000"/>
              </a:solidFill>
              <a:ln>
                <a:noFill/>
              </a:ln>
              <a:effectLst/>
            </c:spPr>
            <c:extLst>
              <c:ext xmlns:c16="http://schemas.microsoft.com/office/drawing/2014/chart" uri="{C3380CC4-5D6E-409C-BE32-E72D297353CC}">
                <c16:uniqueId val="{00000005-9C0D-4CC7-9663-95D630BBC6EC}"/>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9C0D-4CC7-9663-95D630BBC6E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'Female Language Chart '!$D$5:$I$5</c:f>
                <c:numCache>
                  <c:formatCode>General</c:formatCode>
                  <c:ptCount val="6"/>
                  <c:pt idx="0">
                    <c:v>1.4337996792614405</c:v>
                  </c:pt>
                  <c:pt idx="1">
                    <c:v>0.34018586305947451</c:v>
                  </c:pt>
                  <c:pt idx="2">
                    <c:v>0.111055767394447</c:v>
                  </c:pt>
                  <c:pt idx="3">
                    <c:v>2.3378575447361101</c:v>
                  </c:pt>
                  <c:pt idx="4">
                    <c:v>0.73933429001318984</c:v>
                  </c:pt>
                  <c:pt idx="5">
                    <c:v>0.24556040422153558</c:v>
                  </c:pt>
                </c:numCache>
              </c:numRef>
            </c:plus>
            <c:minus>
              <c:numRef>
                <c:f>'Female Language Chart '!$D$4:$I$4</c:f>
                <c:numCache>
                  <c:formatCode>General</c:formatCode>
                  <c:ptCount val="6"/>
                  <c:pt idx="0">
                    <c:v>1.4970161529135879</c:v>
                  </c:pt>
                  <c:pt idx="1">
                    <c:v>0.34430600816467916</c:v>
                  </c:pt>
                  <c:pt idx="2">
                    <c:v>0.11152526212477198</c:v>
                  </c:pt>
                  <c:pt idx="3">
                    <c:v>2.4386930032582512</c:v>
                  </c:pt>
                  <c:pt idx="4">
                    <c:v>0.75043022831430051</c:v>
                  </c:pt>
                  <c:pt idx="5">
                    <c:v>0.24704786386972444</c:v>
                  </c:pt>
                </c:numCache>
              </c:numRef>
            </c:minus>
            <c:spPr>
              <a:noFill/>
              <a:ln w="9525" cap="flat" cmpd="sng" algn="ctr">
                <a:solidFill>
                  <a:schemeClr val="tx1"/>
                </a:solidFill>
                <a:round/>
              </a:ln>
              <a:effectLst/>
            </c:spPr>
          </c:errBars>
          <c:cat>
            <c:multiLvlStrRef>
              <c:f>'Female Language Chart '!$D$1:$I$2</c:f>
              <c:multiLvlStrCache>
                <c:ptCount val="6"/>
                <c:lvl>
                  <c:pt idx="0">
                    <c:v>Sandwell</c:v>
                  </c:pt>
                  <c:pt idx="1">
                    <c:v>West Midlands</c:v>
                  </c:pt>
                  <c:pt idx="2">
                    <c:v>England</c:v>
                  </c:pt>
                  <c:pt idx="3">
                    <c:v>Sandwell</c:v>
                  </c:pt>
                  <c:pt idx="4">
                    <c:v>West Midlands</c:v>
                  </c:pt>
                  <c:pt idx="5">
                    <c:v>England</c:v>
                  </c:pt>
                </c:lvl>
                <c:lvl>
                  <c:pt idx="0">
                    <c:v>English</c:v>
                  </c:pt>
                  <c:pt idx="3">
                    <c:v>Other Language</c:v>
                  </c:pt>
                </c:lvl>
              </c:multiLvlStrCache>
            </c:multiLvlStrRef>
          </c:cat>
          <c:val>
            <c:numRef>
              <c:f>'Female Language Chart '!$D$3:$I$3</c:f>
              <c:numCache>
                <c:formatCode>0.0</c:formatCode>
                <c:ptCount val="6"/>
                <c:pt idx="0">
                  <c:v>76.485225505443239</c:v>
                </c:pt>
                <c:pt idx="1">
                  <c:v>79.088461963936723</c:v>
                </c:pt>
                <c:pt idx="2">
                  <c:v>80.152043630968905</c:v>
                </c:pt>
                <c:pt idx="3">
                  <c:v>68.936761640027797</c:v>
                </c:pt>
                <c:pt idx="4">
                  <c:v>70.710100446428569</c:v>
                </c:pt>
                <c:pt idx="5">
                  <c:v>73.739754516168503</c:v>
                </c:pt>
              </c:numCache>
            </c:numRef>
          </c:val>
          <c:extLst>
            <c:ext xmlns:c16="http://schemas.microsoft.com/office/drawing/2014/chart" uri="{C3380CC4-5D6E-409C-BE32-E72D297353CC}">
              <c16:uniqueId val="{00000008-9C0D-4CC7-9663-95D630BBC6EC}"/>
            </c:ext>
          </c:extLst>
        </c:ser>
        <c:dLbls>
          <c:showLegendKey val="0"/>
          <c:showVal val="0"/>
          <c:showCatName val="0"/>
          <c:showSerName val="0"/>
          <c:showPercent val="0"/>
          <c:showBubbleSize val="0"/>
        </c:dLbls>
        <c:gapWidth val="29"/>
        <c:axId val="173339776"/>
        <c:axId val="173341312"/>
      </c:barChart>
      <c:catAx>
        <c:axId val="17333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41312"/>
        <c:crosses val="autoZero"/>
        <c:auto val="1"/>
        <c:lblAlgn val="ctr"/>
        <c:lblOffset val="100"/>
        <c:noMultiLvlLbl val="0"/>
      </c:catAx>
      <c:valAx>
        <c:axId val="173341312"/>
        <c:scaling>
          <c:orientation val="minMax"/>
          <c:max val="8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3977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sz="1200" b="0" i="0" baseline="0">
                <a:effectLst/>
              </a:rPr>
              <a:t> </a:t>
            </a:r>
            <a:endParaRPr lang="en-GB" sz="1200" b="1">
              <a:effectLst/>
            </a:endParaRPr>
          </a:p>
        </c:rich>
      </c:tx>
      <c:layout>
        <c:manualLayout>
          <c:xMode val="edge"/>
          <c:yMode val="edge"/>
          <c:x val="0.15157480314960631"/>
          <c:y val="2.72572402044293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1293519502722714E-2"/>
          <c:y val="0.10907957384244084"/>
          <c:w val="0.76030827804815859"/>
          <c:h val="0.7720226423579121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FD2-4B66-AC1F-D8E00A5992D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FD2-4B66-AC1F-D8E00A5992D5}"/>
              </c:ext>
            </c:extLst>
          </c:dPt>
          <c:dPt>
            <c:idx val="3"/>
            <c:invertIfNegative val="0"/>
            <c:bubble3D val="0"/>
            <c:spPr>
              <a:solidFill>
                <a:srgbClr val="FF0000"/>
              </a:solidFill>
              <a:ln>
                <a:noFill/>
              </a:ln>
              <a:effectLst/>
            </c:spPr>
            <c:extLst>
              <c:ext xmlns:c16="http://schemas.microsoft.com/office/drawing/2014/chart" uri="{C3380CC4-5D6E-409C-BE32-E72D297353CC}">
                <c16:uniqueId val="{00000005-2FD2-4B66-AC1F-D8E00A5992D5}"/>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2FD2-4B66-AC1F-D8E00A5992D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'Male Language Chart'!$D$5:$I$5</c:f>
                <c:numCache>
                  <c:formatCode>General</c:formatCode>
                  <c:ptCount val="6"/>
                  <c:pt idx="0">
                    <c:v>1.617595332701562</c:v>
                  </c:pt>
                  <c:pt idx="1">
                    <c:v>0.38865589377277843</c:v>
                  </c:pt>
                  <c:pt idx="2">
                    <c:v>0.12790606379495273</c:v>
                  </c:pt>
                  <c:pt idx="3">
                    <c:v>2.4882986306212871</c:v>
                  </c:pt>
                  <c:pt idx="4">
                    <c:v>0.7771126728950648</c:v>
                  </c:pt>
                  <c:pt idx="5">
                    <c:v>0.26667499191330535</c:v>
                  </c:pt>
                </c:numCache>
              </c:numRef>
            </c:plus>
            <c:minus>
              <c:numRef>
                <c:f>'Male Language Chart'!$D$4:$I$4</c:f>
                <c:numCache>
                  <c:formatCode>General</c:formatCode>
                  <c:ptCount val="6"/>
                  <c:pt idx="0">
                    <c:v>1.6447619963227282</c:v>
                  </c:pt>
                  <c:pt idx="1">
                    <c:v>0.39073793526702616</c:v>
                  </c:pt>
                  <c:pt idx="2">
                    <c:v>0.12815904519949584</c:v>
                  </c:pt>
                  <c:pt idx="3">
                    <c:v>2.5274078383188439</c:v>
                  </c:pt>
                  <c:pt idx="4">
                    <c:v>0.78060807519361219</c:v>
                  </c:pt>
                  <c:pt idx="5">
                    <c:v>0.26727063746465518</c:v>
                  </c:pt>
                </c:numCache>
              </c:numRef>
            </c:minus>
            <c:spPr>
              <a:noFill/>
              <a:ln w="9525" cap="flat" cmpd="sng" algn="ctr">
                <a:solidFill>
                  <a:schemeClr val="tx1"/>
                </a:solidFill>
                <a:round/>
              </a:ln>
              <a:effectLst/>
            </c:spPr>
          </c:errBars>
          <c:cat>
            <c:multiLvlStrRef>
              <c:f>'Male Language Chart'!$D$1:$I$2</c:f>
              <c:multiLvlStrCache>
                <c:ptCount val="6"/>
                <c:lvl>
                  <c:pt idx="0">
                    <c:v>Sandwell</c:v>
                  </c:pt>
                  <c:pt idx="1">
                    <c:v>West Midlands</c:v>
                  </c:pt>
                  <c:pt idx="2">
                    <c:v>England</c:v>
                  </c:pt>
                  <c:pt idx="3">
                    <c:v>Sandwell</c:v>
                  </c:pt>
                  <c:pt idx="4">
                    <c:v>West Midlands</c:v>
                  </c:pt>
                  <c:pt idx="5">
                    <c:v>England</c:v>
                  </c:pt>
                </c:lvl>
                <c:lvl>
                  <c:pt idx="0">
                    <c:v>English</c:v>
                  </c:pt>
                  <c:pt idx="3">
                    <c:v>Other Language</c:v>
                  </c:pt>
                </c:lvl>
              </c:multiLvlStrCache>
            </c:multiLvlStrRef>
          </c:cat>
          <c:val>
            <c:numRef>
              <c:f>'Male Language Chart'!$D$3:$I$3</c:f>
              <c:numCache>
                <c:formatCode>0.0</c:formatCode>
                <c:ptCount val="6"/>
                <c:pt idx="0">
                  <c:v>62.025316455696199</c:v>
                </c:pt>
                <c:pt idx="1">
                  <c:v>65.492267860891474</c:v>
                </c:pt>
                <c:pt idx="2">
                  <c:v>67.048384635739083</c:v>
                </c:pt>
                <c:pt idx="3">
                  <c:v>57.594086021505376</c:v>
                </c:pt>
                <c:pt idx="4">
                  <c:v>57.059051057246002</c:v>
                </c:pt>
                <c:pt idx="5">
                  <c:v>60.026291370244358</c:v>
                </c:pt>
              </c:numCache>
            </c:numRef>
          </c:val>
          <c:extLst>
            <c:ext xmlns:c16="http://schemas.microsoft.com/office/drawing/2014/chart" uri="{C3380CC4-5D6E-409C-BE32-E72D297353CC}">
              <c16:uniqueId val="{00000008-2FD2-4B66-AC1F-D8E00A5992D5}"/>
            </c:ext>
          </c:extLst>
        </c:ser>
        <c:dLbls>
          <c:showLegendKey val="0"/>
          <c:showVal val="0"/>
          <c:showCatName val="0"/>
          <c:showSerName val="0"/>
          <c:showPercent val="0"/>
          <c:showBubbleSize val="0"/>
        </c:dLbls>
        <c:gapWidth val="29"/>
        <c:axId val="173339776"/>
        <c:axId val="173341312"/>
      </c:barChart>
      <c:catAx>
        <c:axId val="17333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41312"/>
        <c:crosses val="autoZero"/>
        <c:auto val="1"/>
        <c:lblAlgn val="ctr"/>
        <c:lblOffset val="100"/>
        <c:noMultiLvlLbl val="0"/>
      </c:catAx>
      <c:valAx>
        <c:axId val="173341312"/>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3977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sz="1200" b="0" i="0" baseline="0">
                <a:effectLst/>
              </a:rPr>
              <a:t> </a:t>
            </a:r>
            <a:endParaRPr lang="en-GB" sz="1200" b="1">
              <a:effectLst/>
            </a:endParaRPr>
          </a:p>
        </c:rich>
      </c:tx>
      <c:layout>
        <c:manualLayout>
          <c:xMode val="edge"/>
          <c:yMode val="edge"/>
          <c:x val="0.15157480314960631"/>
          <c:y val="2.72572402044293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1293519502722714E-2"/>
          <c:y val="0.10500188317267518"/>
          <c:w val="0.88467852068950092"/>
          <c:h val="0.77610047903204926"/>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20E-4657-85FD-DF8A29882A4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20E-4657-85FD-DF8A29882A41}"/>
              </c:ext>
            </c:extLst>
          </c:dPt>
          <c:dPt>
            <c:idx val="3"/>
            <c:invertIfNegative val="0"/>
            <c:bubble3D val="0"/>
            <c:spPr>
              <a:solidFill>
                <a:srgbClr val="FF0000"/>
              </a:solidFill>
              <a:ln>
                <a:noFill/>
              </a:ln>
              <a:effectLst/>
            </c:spPr>
            <c:extLst>
              <c:ext xmlns:c16="http://schemas.microsoft.com/office/drawing/2014/chart" uri="{C3380CC4-5D6E-409C-BE32-E72D297353CC}">
                <c16:uniqueId val="{00000005-220E-4657-85FD-DF8A29882A41}"/>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220E-4657-85FD-DF8A29882A4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'SEN Overall Charts 17.01.20'!$D$5:$I$5</c:f>
                <c:numCache>
                  <c:formatCode>General</c:formatCode>
                  <c:ptCount val="6"/>
                  <c:pt idx="0">
                    <c:v>0.93850135631845433</c:v>
                  </c:pt>
                  <c:pt idx="1">
                    <c:v>0.23464344674925997</c:v>
                  </c:pt>
                  <c:pt idx="2">
                    <c:v>7.6774495518932895E-2</c:v>
                  </c:pt>
                  <c:pt idx="3">
                    <c:v>2.7453742686513145</c:v>
                  </c:pt>
                  <c:pt idx="4">
                    <c:v>0.68751610030179933</c:v>
                  </c:pt>
                  <c:pt idx="5">
                    <c:v>0.24201021228047992</c:v>
                  </c:pt>
                </c:numCache>
              </c:numRef>
            </c:plus>
            <c:minus>
              <c:numRef>
                <c:f>'SEN Overall Charts 17.01.20'!$D$4:$I$4</c:f>
                <c:numCache>
                  <c:formatCode>General</c:formatCode>
                  <c:ptCount val="6"/>
                  <c:pt idx="0">
                    <c:v>0.95854332730526437</c:v>
                  </c:pt>
                  <c:pt idx="1">
                    <c:v>0.23620690834977154</c:v>
                  </c:pt>
                  <c:pt idx="2">
                    <c:v>7.6957175969980085E-2</c:v>
                  </c:pt>
                  <c:pt idx="3">
                    <c:v>2.5431847842565958</c:v>
                  </c:pt>
                  <c:pt idx="4">
                    <c:v>0.67348708001141233</c:v>
                  </c:pt>
                  <c:pt idx="5">
                    <c:v>0.24039872045011634</c:v>
                  </c:pt>
                </c:numCache>
              </c:numRef>
            </c:minus>
            <c:spPr>
              <a:noFill/>
              <a:ln w="9525" cap="flat" cmpd="sng" algn="ctr">
                <a:solidFill>
                  <a:schemeClr val="tx1"/>
                </a:solidFill>
                <a:round/>
              </a:ln>
              <a:effectLst/>
            </c:spPr>
          </c:errBars>
          <c:cat>
            <c:multiLvlStrRef>
              <c:f>'SEN Overall Charts 17.01.20'!$D$1:$I$2</c:f>
              <c:multiLvlStrCache>
                <c:ptCount val="6"/>
                <c:lvl>
                  <c:pt idx="0">
                    <c:v>Sandwell</c:v>
                  </c:pt>
                  <c:pt idx="1">
                    <c:v>West Midlands</c:v>
                  </c:pt>
                  <c:pt idx="2">
                    <c:v>England</c:v>
                  </c:pt>
                  <c:pt idx="3">
                    <c:v>Sandwell</c:v>
                  </c:pt>
                  <c:pt idx="4">
                    <c:v>West Midlands</c:v>
                  </c:pt>
                  <c:pt idx="5">
                    <c:v>England</c:v>
                  </c:pt>
                </c:lvl>
                <c:lvl>
                  <c:pt idx="0">
                    <c:v>No SEN</c:v>
                  </c:pt>
                  <c:pt idx="3">
                    <c:v>SEN Support, SEN Statement or EHC Plan %</c:v>
                  </c:pt>
                </c:lvl>
              </c:multiLvlStrCache>
            </c:multiLvlStrRef>
          </c:cat>
          <c:val>
            <c:numRef>
              <c:f>'SEN Overall Charts 17.01.20'!$D$3:$I$3</c:f>
              <c:numCache>
                <c:formatCode>0.0</c:formatCode>
                <c:ptCount val="6"/>
                <c:pt idx="0">
                  <c:v>72.306072306072309</c:v>
                </c:pt>
                <c:pt idx="1">
                  <c:v>75.842028586053473</c:v>
                </c:pt>
                <c:pt idx="2">
                  <c:v>77.20609827721222</c:v>
                </c:pt>
                <c:pt idx="3">
                  <c:v>23.766364551863042</c:v>
                </c:pt>
                <c:pt idx="4">
                  <c:v>23.094155182947524</c:v>
                </c:pt>
                <c:pt idx="5">
                  <c:v>24.430881303374104</c:v>
                </c:pt>
              </c:numCache>
            </c:numRef>
          </c:val>
          <c:extLst>
            <c:ext xmlns:c16="http://schemas.microsoft.com/office/drawing/2014/chart" uri="{C3380CC4-5D6E-409C-BE32-E72D297353CC}">
              <c16:uniqueId val="{00000008-220E-4657-85FD-DF8A29882A41}"/>
            </c:ext>
          </c:extLst>
        </c:ser>
        <c:dLbls>
          <c:showLegendKey val="0"/>
          <c:showVal val="0"/>
          <c:showCatName val="0"/>
          <c:showSerName val="0"/>
          <c:showPercent val="0"/>
          <c:showBubbleSize val="0"/>
        </c:dLbls>
        <c:gapWidth val="29"/>
        <c:axId val="173339776"/>
        <c:axId val="173341312"/>
      </c:barChart>
      <c:catAx>
        <c:axId val="17333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41312"/>
        <c:crosses val="autoZero"/>
        <c:auto val="1"/>
        <c:lblAlgn val="ctr"/>
        <c:lblOffset val="100"/>
        <c:noMultiLvlLbl val="0"/>
      </c:catAx>
      <c:valAx>
        <c:axId val="173341312"/>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3977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0695901818241"/>
          <c:y val="0.15625782698664373"/>
          <c:w val="0.71560364655910547"/>
          <c:h val="0.65356722474537099"/>
        </c:manualLayout>
      </c:layout>
      <c:barChart>
        <c:barDir val="col"/>
        <c:grouping val="clustered"/>
        <c:varyColors val="0"/>
        <c:ser>
          <c:idx val="0"/>
          <c:order val="0"/>
          <c:tx>
            <c:strRef>
              <c:f>Sheet1!$E$6</c:f>
              <c:strCache>
                <c:ptCount val="1"/>
                <c:pt idx="0">
                  <c:v>Sandwell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Sheet1!$E$2:$I$2</c:f>
              <c:strCache>
                <c:ptCount val="5"/>
                <c:pt idx="0">
                  <c:v>14/15</c:v>
                </c:pt>
                <c:pt idx="1">
                  <c:v>15/16</c:v>
                </c:pt>
                <c:pt idx="2">
                  <c:v>16/17</c:v>
                </c:pt>
                <c:pt idx="3">
                  <c:v>17/18</c:v>
                </c:pt>
                <c:pt idx="4">
                  <c:v>18/19</c:v>
                </c:pt>
              </c:strCache>
            </c:strRef>
          </c:cat>
          <c:val>
            <c:numRef>
              <c:f>Sheet1!$E$3:$I$3</c:f>
              <c:numCache>
                <c:formatCode>General</c:formatCode>
                <c:ptCount val="5"/>
                <c:pt idx="0">
                  <c:v>881</c:v>
                </c:pt>
                <c:pt idx="1">
                  <c:v>929</c:v>
                </c:pt>
                <c:pt idx="2">
                  <c:v>867</c:v>
                </c:pt>
                <c:pt idx="3">
                  <c:v>663</c:v>
                </c:pt>
                <c:pt idx="4">
                  <c:v>1090</c:v>
                </c:pt>
              </c:numCache>
            </c:numRef>
          </c:val>
          <c:extLst>
            <c:ext xmlns:c16="http://schemas.microsoft.com/office/drawing/2014/chart" uri="{C3380CC4-5D6E-409C-BE32-E72D297353CC}">
              <c16:uniqueId val="{00000000-71FA-46A2-A01A-C2B18D918CB1}"/>
            </c:ext>
          </c:extLst>
        </c:ser>
        <c:dLbls>
          <c:showLegendKey val="0"/>
          <c:showVal val="0"/>
          <c:showCatName val="0"/>
          <c:showSerName val="0"/>
          <c:showPercent val="0"/>
          <c:showBubbleSize val="0"/>
        </c:dLbls>
        <c:gapWidth val="150"/>
        <c:axId val="427639928"/>
        <c:axId val="427635336"/>
      </c:barChart>
      <c:catAx>
        <c:axId val="42763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27635336"/>
        <c:crosses val="autoZero"/>
        <c:auto val="1"/>
        <c:lblAlgn val="ctr"/>
        <c:lblOffset val="100"/>
        <c:noMultiLvlLbl val="0"/>
      </c:catAx>
      <c:valAx>
        <c:axId val="427635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No. of episodes</a:t>
                </a:r>
              </a:p>
            </c:rich>
          </c:tx>
          <c:layout>
            <c:manualLayout>
              <c:xMode val="edge"/>
              <c:yMode val="edge"/>
              <c:x val="5.2393432164263037E-2"/>
              <c:y val="0.4021684448147053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27639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0.4791</cdr:x>
      <cdr:y>0.81615</cdr:y>
    </cdr:from>
    <cdr:to>
      <cdr:x>0.62508</cdr:x>
      <cdr:y>0.91304</cdr:y>
    </cdr:to>
    <cdr:sp macro="" textlink="">
      <cdr:nvSpPr>
        <cdr:cNvPr id="3" name="TextBox 2">
          <a:extLst xmlns:a="http://schemas.openxmlformats.org/drawingml/2006/main">
            <a:ext uri="{FF2B5EF4-FFF2-40B4-BE49-F238E27FC236}">
              <a16:creationId xmlns:a16="http://schemas.microsoft.com/office/drawing/2014/main" id="{2284B903-AB4B-479A-968A-05B7529DA012}"/>
            </a:ext>
          </a:extLst>
        </cdr:cNvPr>
        <cdr:cNvSpPr txBox="1"/>
      </cdr:nvSpPr>
      <cdr:spPr>
        <a:xfrm xmlns:a="http://schemas.openxmlformats.org/drawingml/2006/main">
          <a:off x="6027420" y="2503170"/>
          <a:ext cx="183642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0.47789</cdr:x>
      <cdr:y>0.79627</cdr:y>
    </cdr:from>
    <cdr:to>
      <cdr:x>0.62386</cdr:x>
      <cdr:y>0.9205</cdr:y>
    </cdr:to>
    <cdr:sp macro="" textlink="">
      <cdr:nvSpPr>
        <cdr:cNvPr id="5" name="TextBox 4">
          <a:extLst xmlns:a="http://schemas.openxmlformats.org/drawingml/2006/main">
            <a:ext uri="{FF2B5EF4-FFF2-40B4-BE49-F238E27FC236}">
              <a16:creationId xmlns:a16="http://schemas.microsoft.com/office/drawing/2014/main" id="{BF51AA3D-6612-4D07-8B27-A51E0D3AE212}"/>
            </a:ext>
          </a:extLst>
        </cdr:cNvPr>
        <cdr:cNvSpPr txBox="1"/>
      </cdr:nvSpPr>
      <cdr:spPr>
        <a:xfrm xmlns:a="http://schemas.openxmlformats.org/drawingml/2006/main">
          <a:off x="6012180" y="2442210"/>
          <a:ext cx="183642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0.47305</cdr:x>
      <cdr:y>0.74907</cdr:y>
    </cdr:from>
    <cdr:to>
      <cdr:x>0.61236</cdr:x>
      <cdr:y>0.90311</cdr:y>
    </cdr:to>
    <cdr:sp macro="" textlink="">
      <cdr:nvSpPr>
        <cdr:cNvPr id="6" name="TextBox 5">
          <a:extLst xmlns:a="http://schemas.openxmlformats.org/drawingml/2006/main">
            <a:ext uri="{FF2B5EF4-FFF2-40B4-BE49-F238E27FC236}">
              <a16:creationId xmlns:a16="http://schemas.microsoft.com/office/drawing/2014/main" id="{513F1AB3-198A-4360-A942-C0F3B77C5091}"/>
            </a:ext>
          </a:extLst>
        </cdr:cNvPr>
        <cdr:cNvSpPr txBox="1"/>
      </cdr:nvSpPr>
      <cdr:spPr>
        <a:xfrm xmlns:a="http://schemas.openxmlformats.org/drawingml/2006/main">
          <a:off x="5951220" y="2297430"/>
          <a:ext cx="175260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0.83404</cdr:x>
      <cdr:y>0.80373</cdr:y>
    </cdr:from>
    <cdr:to>
      <cdr:x>0.98546</cdr:x>
      <cdr:y>0.95776</cdr:y>
    </cdr:to>
    <cdr:sp macro="" textlink="">
      <cdr:nvSpPr>
        <cdr:cNvPr id="10" name="TextBox 9">
          <a:extLst xmlns:a="http://schemas.openxmlformats.org/drawingml/2006/main">
            <a:ext uri="{FF2B5EF4-FFF2-40B4-BE49-F238E27FC236}">
              <a16:creationId xmlns:a16="http://schemas.microsoft.com/office/drawing/2014/main" id="{C741F0F1-CF4C-4FFC-921E-05C6F8282E9B}"/>
            </a:ext>
          </a:extLst>
        </cdr:cNvPr>
        <cdr:cNvSpPr txBox="1"/>
      </cdr:nvSpPr>
      <cdr:spPr>
        <a:xfrm xmlns:a="http://schemas.openxmlformats.org/drawingml/2006/main">
          <a:off x="10492740" y="2465070"/>
          <a:ext cx="190500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0.83586</cdr:x>
      <cdr:y>0.77888</cdr:y>
    </cdr:from>
    <cdr:to>
      <cdr:x>0.99394</cdr:x>
      <cdr:y>0.98758</cdr:y>
    </cdr:to>
    <cdr:sp macro="" textlink="">
      <cdr:nvSpPr>
        <cdr:cNvPr id="12" name="TextBox 11">
          <a:extLst xmlns:a="http://schemas.openxmlformats.org/drawingml/2006/main">
            <a:ext uri="{FF2B5EF4-FFF2-40B4-BE49-F238E27FC236}">
              <a16:creationId xmlns:a16="http://schemas.microsoft.com/office/drawing/2014/main" id="{CEB49036-DD27-4EE5-A139-098C4209758A}"/>
            </a:ext>
          </a:extLst>
        </cdr:cNvPr>
        <cdr:cNvSpPr txBox="1"/>
      </cdr:nvSpPr>
      <cdr:spPr>
        <a:xfrm xmlns:a="http://schemas.openxmlformats.org/drawingml/2006/main">
          <a:off x="10515600" y="2388870"/>
          <a:ext cx="1988820" cy="640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0.4791</cdr:x>
      <cdr:y>0.81615</cdr:y>
    </cdr:from>
    <cdr:to>
      <cdr:x>0.62508</cdr:x>
      <cdr:y>0.91304</cdr:y>
    </cdr:to>
    <cdr:sp macro="" textlink="">
      <cdr:nvSpPr>
        <cdr:cNvPr id="3" name="TextBox 2">
          <a:extLst xmlns:a="http://schemas.openxmlformats.org/drawingml/2006/main">
            <a:ext uri="{FF2B5EF4-FFF2-40B4-BE49-F238E27FC236}">
              <a16:creationId xmlns:a16="http://schemas.microsoft.com/office/drawing/2014/main" id="{2284B903-AB4B-479A-968A-05B7529DA012}"/>
            </a:ext>
          </a:extLst>
        </cdr:cNvPr>
        <cdr:cNvSpPr txBox="1"/>
      </cdr:nvSpPr>
      <cdr:spPr>
        <a:xfrm xmlns:a="http://schemas.openxmlformats.org/drawingml/2006/main">
          <a:off x="6027420" y="2503170"/>
          <a:ext cx="183642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0.47789</cdr:x>
      <cdr:y>0.79627</cdr:y>
    </cdr:from>
    <cdr:to>
      <cdr:x>0.62386</cdr:x>
      <cdr:y>0.9205</cdr:y>
    </cdr:to>
    <cdr:sp macro="" textlink="">
      <cdr:nvSpPr>
        <cdr:cNvPr id="5" name="TextBox 4">
          <a:extLst xmlns:a="http://schemas.openxmlformats.org/drawingml/2006/main">
            <a:ext uri="{FF2B5EF4-FFF2-40B4-BE49-F238E27FC236}">
              <a16:creationId xmlns:a16="http://schemas.microsoft.com/office/drawing/2014/main" id="{BF51AA3D-6612-4D07-8B27-A51E0D3AE212}"/>
            </a:ext>
          </a:extLst>
        </cdr:cNvPr>
        <cdr:cNvSpPr txBox="1"/>
      </cdr:nvSpPr>
      <cdr:spPr>
        <a:xfrm xmlns:a="http://schemas.openxmlformats.org/drawingml/2006/main">
          <a:off x="6012180" y="2442210"/>
          <a:ext cx="183642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0.47305</cdr:x>
      <cdr:y>0.74907</cdr:y>
    </cdr:from>
    <cdr:to>
      <cdr:x>0.61236</cdr:x>
      <cdr:y>0.90311</cdr:y>
    </cdr:to>
    <cdr:sp macro="" textlink="">
      <cdr:nvSpPr>
        <cdr:cNvPr id="6" name="TextBox 5">
          <a:extLst xmlns:a="http://schemas.openxmlformats.org/drawingml/2006/main">
            <a:ext uri="{FF2B5EF4-FFF2-40B4-BE49-F238E27FC236}">
              <a16:creationId xmlns:a16="http://schemas.microsoft.com/office/drawing/2014/main" id="{513F1AB3-198A-4360-A942-C0F3B77C5091}"/>
            </a:ext>
          </a:extLst>
        </cdr:cNvPr>
        <cdr:cNvSpPr txBox="1"/>
      </cdr:nvSpPr>
      <cdr:spPr>
        <a:xfrm xmlns:a="http://schemas.openxmlformats.org/drawingml/2006/main">
          <a:off x="5951220" y="2297430"/>
          <a:ext cx="175260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0.83404</cdr:x>
      <cdr:y>0.80373</cdr:y>
    </cdr:from>
    <cdr:to>
      <cdr:x>0.98546</cdr:x>
      <cdr:y>0.95776</cdr:y>
    </cdr:to>
    <cdr:sp macro="" textlink="">
      <cdr:nvSpPr>
        <cdr:cNvPr id="10" name="TextBox 9">
          <a:extLst xmlns:a="http://schemas.openxmlformats.org/drawingml/2006/main">
            <a:ext uri="{FF2B5EF4-FFF2-40B4-BE49-F238E27FC236}">
              <a16:creationId xmlns:a16="http://schemas.microsoft.com/office/drawing/2014/main" id="{C741F0F1-CF4C-4FFC-921E-05C6F8282E9B}"/>
            </a:ext>
          </a:extLst>
        </cdr:cNvPr>
        <cdr:cNvSpPr txBox="1"/>
      </cdr:nvSpPr>
      <cdr:spPr>
        <a:xfrm xmlns:a="http://schemas.openxmlformats.org/drawingml/2006/main">
          <a:off x="10492740" y="2465070"/>
          <a:ext cx="190500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0.83586</cdr:x>
      <cdr:y>0.77888</cdr:y>
    </cdr:from>
    <cdr:to>
      <cdr:x>0.99394</cdr:x>
      <cdr:y>0.98758</cdr:y>
    </cdr:to>
    <cdr:sp macro="" textlink="">
      <cdr:nvSpPr>
        <cdr:cNvPr id="12" name="TextBox 11">
          <a:extLst xmlns:a="http://schemas.openxmlformats.org/drawingml/2006/main">
            <a:ext uri="{FF2B5EF4-FFF2-40B4-BE49-F238E27FC236}">
              <a16:creationId xmlns:a16="http://schemas.microsoft.com/office/drawing/2014/main" id="{CEB49036-DD27-4EE5-A139-098C4209758A}"/>
            </a:ext>
          </a:extLst>
        </cdr:cNvPr>
        <cdr:cNvSpPr txBox="1"/>
      </cdr:nvSpPr>
      <cdr:spPr>
        <a:xfrm xmlns:a="http://schemas.openxmlformats.org/drawingml/2006/main">
          <a:off x="10515600" y="2388870"/>
          <a:ext cx="1988820" cy="640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0.4791</cdr:x>
      <cdr:y>0.81615</cdr:y>
    </cdr:from>
    <cdr:to>
      <cdr:x>0.62508</cdr:x>
      <cdr:y>0.91304</cdr:y>
    </cdr:to>
    <cdr:sp macro="" textlink="">
      <cdr:nvSpPr>
        <cdr:cNvPr id="3" name="TextBox 2">
          <a:extLst xmlns:a="http://schemas.openxmlformats.org/drawingml/2006/main">
            <a:ext uri="{FF2B5EF4-FFF2-40B4-BE49-F238E27FC236}">
              <a16:creationId xmlns:a16="http://schemas.microsoft.com/office/drawing/2014/main" id="{2284B903-AB4B-479A-968A-05B7529DA012}"/>
            </a:ext>
          </a:extLst>
        </cdr:cNvPr>
        <cdr:cNvSpPr txBox="1"/>
      </cdr:nvSpPr>
      <cdr:spPr>
        <a:xfrm xmlns:a="http://schemas.openxmlformats.org/drawingml/2006/main">
          <a:off x="6027420" y="2503170"/>
          <a:ext cx="183642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0.47789</cdr:x>
      <cdr:y>0.79627</cdr:y>
    </cdr:from>
    <cdr:to>
      <cdr:x>0.62386</cdr:x>
      <cdr:y>0.9205</cdr:y>
    </cdr:to>
    <cdr:sp macro="" textlink="">
      <cdr:nvSpPr>
        <cdr:cNvPr id="5" name="TextBox 4">
          <a:extLst xmlns:a="http://schemas.openxmlformats.org/drawingml/2006/main">
            <a:ext uri="{FF2B5EF4-FFF2-40B4-BE49-F238E27FC236}">
              <a16:creationId xmlns:a16="http://schemas.microsoft.com/office/drawing/2014/main" id="{BF51AA3D-6612-4D07-8B27-A51E0D3AE212}"/>
            </a:ext>
          </a:extLst>
        </cdr:cNvPr>
        <cdr:cNvSpPr txBox="1"/>
      </cdr:nvSpPr>
      <cdr:spPr>
        <a:xfrm xmlns:a="http://schemas.openxmlformats.org/drawingml/2006/main">
          <a:off x="6012180" y="2442210"/>
          <a:ext cx="183642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0.47305</cdr:x>
      <cdr:y>0.74907</cdr:y>
    </cdr:from>
    <cdr:to>
      <cdr:x>0.61236</cdr:x>
      <cdr:y>0.90311</cdr:y>
    </cdr:to>
    <cdr:sp macro="" textlink="">
      <cdr:nvSpPr>
        <cdr:cNvPr id="6" name="TextBox 5">
          <a:extLst xmlns:a="http://schemas.openxmlformats.org/drawingml/2006/main">
            <a:ext uri="{FF2B5EF4-FFF2-40B4-BE49-F238E27FC236}">
              <a16:creationId xmlns:a16="http://schemas.microsoft.com/office/drawing/2014/main" id="{513F1AB3-198A-4360-A942-C0F3B77C5091}"/>
            </a:ext>
          </a:extLst>
        </cdr:cNvPr>
        <cdr:cNvSpPr txBox="1"/>
      </cdr:nvSpPr>
      <cdr:spPr>
        <a:xfrm xmlns:a="http://schemas.openxmlformats.org/drawingml/2006/main">
          <a:off x="5951220" y="2297430"/>
          <a:ext cx="175260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0.83404</cdr:x>
      <cdr:y>0.80373</cdr:y>
    </cdr:from>
    <cdr:to>
      <cdr:x>0.98546</cdr:x>
      <cdr:y>0.95776</cdr:y>
    </cdr:to>
    <cdr:sp macro="" textlink="">
      <cdr:nvSpPr>
        <cdr:cNvPr id="10" name="TextBox 9">
          <a:extLst xmlns:a="http://schemas.openxmlformats.org/drawingml/2006/main">
            <a:ext uri="{FF2B5EF4-FFF2-40B4-BE49-F238E27FC236}">
              <a16:creationId xmlns:a16="http://schemas.microsoft.com/office/drawing/2014/main" id="{C741F0F1-CF4C-4FFC-921E-05C6F8282E9B}"/>
            </a:ext>
          </a:extLst>
        </cdr:cNvPr>
        <cdr:cNvSpPr txBox="1"/>
      </cdr:nvSpPr>
      <cdr:spPr>
        <a:xfrm xmlns:a="http://schemas.openxmlformats.org/drawingml/2006/main">
          <a:off x="10492740" y="2465070"/>
          <a:ext cx="190500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0.83586</cdr:x>
      <cdr:y>0.77888</cdr:y>
    </cdr:from>
    <cdr:to>
      <cdr:x>0.99394</cdr:x>
      <cdr:y>0.98758</cdr:y>
    </cdr:to>
    <cdr:sp macro="" textlink="">
      <cdr:nvSpPr>
        <cdr:cNvPr id="12" name="TextBox 11">
          <a:extLst xmlns:a="http://schemas.openxmlformats.org/drawingml/2006/main">
            <a:ext uri="{FF2B5EF4-FFF2-40B4-BE49-F238E27FC236}">
              <a16:creationId xmlns:a16="http://schemas.microsoft.com/office/drawing/2014/main" id="{CEB49036-DD27-4EE5-A139-098C4209758A}"/>
            </a:ext>
          </a:extLst>
        </cdr:cNvPr>
        <cdr:cNvSpPr txBox="1"/>
      </cdr:nvSpPr>
      <cdr:spPr>
        <a:xfrm xmlns:a="http://schemas.openxmlformats.org/drawingml/2006/main">
          <a:off x="10515600" y="2388870"/>
          <a:ext cx="1988820" cy="640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4.xml><?xml version="1.0" encoding="utf-8"?>
<c:userShapes xmlns:c="http://schemas.openxmlformats.org/drawingml/2006/chart">
  <cdr:relSizeAnchor xmlns:cdr="http://schemas.openxmlformats.org/drawingml/2006/chartDrawing">
    <cdr:from>
      <cdr:x>0.4791</cdr:x>
      <cdr:y>0.81615</cdr:y>
    </cdr:from>
    <cdr:to>
      <cdr:x>0.62508</cdr:x>
      <cdr:y>0.91304</cdr:y>
    </cdr:to>
    <cdr:sp macro="" textlink="">
      <cdr:nvSpPr>
        <cdr:cNvPr id="3" name="TextBox 2">
          <a:extLst xmlns:a="http://schemas.openxmlformats.org/drawingml/2006/main">
            <a:ext uri="{FF2B5EF4-FFF2-40B4-BE49-F238E27FC236}">
              <a16:creationId xmlns:a16="http://schemas.microsoft.com/office/drawing/2014/main" id="{2284B903-AB4B-479A-968A-05B7529DA012}"/>
            </a:ext>
          </a:extLst>
        </cdr:cNvPr>
        <cdr:cNvSpPr txBox="1"/>
      </cdr:nvSpPr>
      <cdr:spPr>
        <a:xfrm xmlns:a="http://schemas.openxmlformats.org/drawingml/2006/main">
          <a:off x="6027420" y="2503170"/>
          <a:ext cx="183642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0.47789</cdr:x>
      <cdr:y>0.79627</cdr:y>
    </cdr:from>
    <cdr:to>
      <cdr:x>0.62386</cdr:x>
      <cdr:y>0.9205</cdr:y>
    </cdr:to>
    <cdr:sp macro="" textlink="">
      <cdr:nvSpPr>
        <cdr:cNvPr id="5" name="TextBox 4">
          <a:extLst xmlns:a="http://schemas.openxmlformats.org/drawingml/2006/main">
            <a:ext uri="{FF2B5EF4-FFF2-40B4-BE49-F238E27FC236}">
              <a16:creationId xmlns:a16="http://schemas.microsoft.com/office/drawing/2014/main" id="{BF51AA3D-6612-4D07-8B27-A51E0D3AE212}"/>
            </a:ext>
          </a:extLst>
        </cdr:cNvPr>
        <cdr:cNvSpPr txBox="1"/>
      </cdr:nvSpPr>
      <cdr:spPr>
        <a:xfrm xmlns:a="http://schemas.openxmlformats.org/drawingml/2006/main">
          <a:off x="6012180" y="2442210"/>
          <a:ext cx="183642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0.47305</cdr:x>
      <cdr:y>0.74907</cdr:y>
    </cdr:from>
    <cdr:to>
      <cdr:x>0.61236</cdr:x>
      <cdr:y>0.90311</cdr:y>
    </cdr:to>
    <cdr:sp macro="" textlink="">
      <cdr:nvSpPr>
        <cdr:cNvPr id="6" name="TextBox 5">
          <a:extLst xmlns:a="http://schemas.openxmlformats.org/drawingml/2006/main">
            <a:ext uri="{FF2B5EF4-FFF2-40B4-BE49-F238E27FC236}">
              <a16:creationId xmlns:a16="http://schemas.microsoft.com/office/drawing/2014/main" id="{513F1AB3-198A-4360-A942-C0F3B77C5091}"/>
            </a:ext>
          </a:extLst>
        </cdr:cNvPr>
        <cdr:cNvSpPr txBox="1"/>
      </cdr:nvSpPr>
      <cdr:spPr>
        <a:xfrm xmlns:a="http://schemas.openxmlformats.org/drawingml/2006/main">
          <a:off x="5951220" y="2297430"/>
          <a:ext cx="175260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0.83404</cdr:x>
      <cdr:y>0.80373</cdr:y>
    </cdr:from>
    <cdr:to>
      <cdr:x>0.98546</cdr:x>
      <cdr:y>0.95776</cdr:y>
    </cdr:to>
    <cdr:sp macro="" textlink="">
      <cdr:nvSpPr>
        <cdr:cNvPr id="10" name="TextBox 9">
          <a:extLst xmlns:a="http://schemas.openxmlformats.org/drawingml/2006/main">
            <a:ext uri="{FF2B5EF4-FFF2-40B4-BE49-F238E27FC236}">
              <a16:creationId xmlns:a16="http://schemas.microsoft.com/office/drawing/2014/main" id="{C741F0F1-CF4C-4FFC-921E-05C6F8282E9B}"/>
            </a:ext>
          </a:extLst>
        </cdr:cNvPr>
        <cdr:cNvSpPr txBox="1"/>
      </cdr:nvSpPr>
      <cdr:spPr>
        <a:xfrm xmlns:a="http://schemas.openxmlformats.org/drawingml/2006/main">
          <a:off x="10492740" y="2465070"/>
          <a:ext cx="190500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0.83586</cdr:x>
      <cdr:y>0.77888</cdr:y>
    </cdr:from>
    <cdr:to>
      <cdr:x>0.99394</cdr:x>
      <cdr:y>0.98758</cdr:y>
    </cdr:to>
    <cdr:sp macro="" textlink="">
      <cdr:nvSpPr>
        <cdr:cNvPr id="12" name="TextBox 11">
          <a:extLst xmlns:a="http://schemas.openxmlformats.org/drawingml/2006/main">
            <a:ext uri="{FF2B5EF4-FFF2-40B4-BE49-F238E27FC236}">
              <a16:creationId xmlns:a16="http://schemas.microsoft.com/office/drawing/2014/main" id="{CEB49036-DD27-4EE5-A139-098C4209758A}"/>
            </a:ext>
          </a:extLst>
        </cdr:cNvPr>
        <cdr:cNvSpPr txBox="1"/>
      </cdr:nvSpPr>
      <cdr:spPr>
        <a:xfrm xmlns:a="http://schemas.openxmlformats.org/drawingml/2006/main">
          <a:off x="10515600" y="2388870"/>
          <a:ext cx="1988820" cy="640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040E707E83B74584BC59ACA096557C" ma:contentTypeVersion="4" ma:contentTypeDescription="Create a new document." ma:contentTypeScope="" ma:versionID="52c62fd907bc26360ff575a584309dd0">
  <xsd:schema xmlns:xsd="http://www.w3.org/2001/XMLSchema" xmlns:xs="http://www.w3.org/2001/XMLSchema" xmlns:p="http://schemas.microsoft.com/office/2006/metadata/properties" xmlns:ns2="36d3b4ea-47fe-4d23-b6b6-d39c6ac7b1e6" targetNamespace="http://schemas.microsoft.com/office/2006/metadata/properties" ma:root="true" ma:fieldsID="336235b227e770ef8598b6a437429dea" ns2:_="">
    <xsd:import namespace="36d3b4ea-47fe-4d23-b6b6-d39c6ac7b1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3b4ea-47fe-4d23-b6b6-d39c6ac7b1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891932-D8C1-4718-ABF0-BAF854F614EF}">
  <ds:schemaRefs>
    <ds:schemaRef ds:uri="http://schemas.openxmlformats.org/officeDocument/2006/bibliography"/>
  </ds:schemaRefs>
</ds:datastoreItem>
</file>

<file path=customXml/itemProps2.xml><?xml version="1.0" encoding="utf-8"?>
<ds:datastoreItem xmlns:ds="http://schemas.openxmlformats.org/officeDocument/2006/customXml" ds:itemID="{8F7250FD-9711-4AF9-A956-BEEC2C50DB60}">
  <ds:schemaRefs>
    <ds:schemaRef ds:uri="http://schemas.microsoft.com/sharepoint/v3/contenttype/forms"/>
  </ds:schemaRefs>
</ds:datastoreItem>
</file>

<file path=customXml/itemProps3.xml><?xml version="1.0" encoding="utf-8"?>
<ds:datastoreItem xmlns:ds="http://schemas.openxmlformats.org/officeDocument/2006/customXml" ds:itemID="{A3CEDA0F-9721-4BF5-8741-F548479DC86A}">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36d3b4ea-47fe-4d23-b6b6-d39c6ac7b1e6"/>
    <ds:schemaRef ds:uri="http://www.w3.org/XML/1998/namespace"/>
  </ds:schemaRefs>
</ds:datastoreItem>
</file>

<file path=customXml/itemProps4.xml><?xml version="1.0" encoding="utf-8"?>
<ds:datastoreItem xmlns:ds="http://schemas.openxmlformats.org/officeDocument/2006/customXml" ds:itemID="{801EC516-89EA-4B93-91CB-A03EDA196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3b4ea-47fe-4d23-b6b6-d39c6ac7b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22224</Words>
  <Characters>126682</Characters>
  <Application>Microsoft Office Word</Application>
  <DocSecurity>4</DocSecurity>
  <Lines>1055</Lines>
  <Paragraphs>297</Paragraphs>
  <ScaleCrop>false</ScaleCrop>
  <Company/>
  <LinksUpToDate>false</LinksUpToDate>
  <CharactersWithSpaces>148609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2023-09-14T09:55:00Z</dcterms:created>
  <dcterms:modified xsi:type="dcterms:W3CDTF">2023-09-14T09:55:00Z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0x010100CA040E707E83B74584BC59ACA096557C</vt:lpwstr>
  </property>
</Properties>
</file>